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1A40" w:rsidRPr="0024129B" w:rsidRDefault="0024129B" w:rsidP="0024129B">
      <w:pPr>
        <w:spacing w:after="120" w:line="240" w:lineRule="auto"/>
        <w:ind w:left="2218" w:right="2200" w:hanging="10"/>
        <w:jc w:val="center"/>
        <w:rPr>
          <w:rFonts w:ascii="Times New Roman" w:hAnsi="Times New Roman" w:cs="Times New Roman"/>
          <w:lang w:val="pl-PL"/>
        </w:rPr>
      </w:pPr>
      <w:bookmarkStart w:id="0" w:name="_GoBack"/>
      <w:bookmarkEnd w:id="0"/>
      <w:r w:rsidRPr="0024129B">
        <w:rPr>
          <w:rFonts w:ascii="Times New Roman" w:eastAsia="Times New Roman" w:hAnsi="Times New Roman" w:cs="Times New Roman"/>
          <w:b/>
          <w:lang w:val="pl-PL"/>
        </w:rPr>
        <w:t xml:space="preserve">PEŁNOMOCNICTWO DO UCZESTNICTWA </w:t>
      </w:r>
      <w:r>
        <w:rPr>
          <w:rFonts w:ascii="Times New Roman" w:eastAsia="Times New Roman" w:hAnsi="Times New Roman" w:cs="Times New Roman"/>
          <w:b/>
          <w:lang w:val="pl-PL"/>
        </w:rPr>
        <w:br/>
        <w:t xml:space="preserve">W </w:t>
      </w:r>
      <w:r w:rsidRPr="0024129B">
        <w:rPr>
          <w:rFonts w:ascii="Times New Roman" w:eastAsia="Times New Roman" w:hAnsi="Times New Roman" w:cs="Times New Roman"/>
          <w:b/>
          <w:lang w:val="pl-PL"/>
        </w:rPr>
        <w:t xml:space="preserve">ZWYCZAJNYM WALNYM ZGROMADZENIU </w:t>
      </w:r>
    </w:p>
    <w:p w:rsidR="00C51A40" w:rsidRPr="0024129B" w:rsidRDefault="0024129B" w:rsidP="0024129B">
      <w:pPr>
        <w:spacing w:after="120" w:line="240" w:lineRule="auto"/>
        <w:ind w:left="2218" w:right="2141" w:hanging="10"/>
        <w:jc w:val="center"/>
        <w:rPr>
          <w:rFonts w:ascii="Times New Roman" w:hAnsi="Times New Roman" w:cs="Times New Roman"/>
          <w:lang w:val="pl-PL"/>
        </w:rPr>
      </w:pPr>
      <w:r w:rsidRPr="0024129B">
        <w:rPr>
          <w:rFonts w:ascii="Times New Roman" w:eastAsia="Times New Roman" w:hAnsi="Times New Roman" w:cs="Times New Roman"/>
          <w:b/>
          <w:lang w:val="pl-PL"/>
        </w:rPr>
        <w:t xml:space="preserve">BANKU HANDLOWEGO W WARSZAWIE S.A. ZWOŁANYM NA DZIEŃ 17 CZERWCA 2021 R.  </w:t>
      </w:r>
    </w:p>
    <w:p w:rsidR="00C51A40" w:rsidRPr="0024129B" w:rsidRDefault="0024129B" w:rsidP="0024129B">
      <w:pPr>
        <w:spacing w:after="120" w:line="240" w:lineRule="auto"/>
        <w:ind w:left="17" w:right="1" w:hanging="10"/>
        <w:jc w:val="center"/>
        <w:rPr>
          <w:rFonts w:ascii="Times New Roman" w:hAnsi="Times New Roman" w:cs="Times New Roman"/>
          <w:lang w:val="pl-PL"/>
        </w:rPr>
      </w:pPr>
      <w:r w:rsidRPr="0024129B">
        <w:rPr>
          <w:rFonts w:ascii="Times New Roman" w:eastAsia="Times New Roman" w:hAnsi="Times New Roman" w:cs="Times New Roman"/>
          <w:lang w:val="pl-PL"/>
        </w:rPr>
        <w:t xml:space="preserve">dla podmiotów niebędących osobami fizycznymi  </w:t>
      </w:r>
    </w:p>
    <w:p w:rsidR="00C51A40" w:rsidRPr="0024129B" w:rsidRDefault="0024129B" w:rsidP="0024129B">
      <w:pPr>
        <w:spacing w:after="120" w:line="240" w:lineRule="auto"/>
        <w:ind w:left="12"/>
        <w:rPr>
          <w:rFonts w:ascii="Times New Roman" w:hAnsi="Times New Roman" w:cs="Times New Roman"/>
          <w:lang w:val="pl-PL"/>
        </w:rPr>
      </w:pPr>
      <w:r w:rsidRPr="0024129B">
        <w:rPr>
          <w:rFonts w:ascii="Times New Roman" w:eastAsia="Times New Roman" w:hAnsi="Times New Roman" w:cs="Times New Roman"/>
          <w:lang w:val="pl-PL"/>
        </w:rPr>
        <w:t xml:space="preserve">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 xml:space="preserve">Ja, niżej podpisany / My niżej podpisani, </w:t>
      </w:r>
      <w:r w:rsidR="00D138B1">
        <w:rPr>
          <w:rFonts w:ascii="Times New Roman" w:eastAsia="Times New Roman" w:hAnsi="Times New Roman" w:cs="Times New Roman"/>
          <w:lang w:val="pl-PL"/>
        </w:rPr>
        <w:t>(</w:t>
      </w:r>
      <w:r w:rsidR="00D138B1" w:rsidRPr="00D138B1">
        <w:rPr>
          <w:rFonts w:ascii="Times New Roman" w:eastAsia="Times New Roman" w:hAnsi="Times New Roman" w:cs="Times New Roman"/>
          <w:i/>
          <w:lang w:val="pl-PL"/>
        </w:rPr>
        <w:t>i</w:t>
      </w:r>
      <w:r w:rsidRPr="00D138B1">
        <w:rPr>
          <w:rFonts w:ascii="Times New Roman" w:eastAsia="Times New Roman" w:hAnsi="Times New Roman" w:cs="Times New Roman"/>
          <w:i/>
          <w:lang w:val="pl-PL"/>
        </w:rPr>
        <w:t>mię i nazwisko</w:t>
      </w:r>
      <w:r w:rsidR="00D138B1">
        <w:rPr>
          <w:rFonts w:ascii="Times New Roman" w:eastAsia="Times New Roman" w:hAnsi="Times New Roman" w:cs="Times New Roman"/>
          <w:lang w:val="pl-PL"/>
        </w:rPr>
        <w:t>)</w:t>
      </w:r>
      <w:r w:rsidRPr="0024129B">
        <w:rPr>
          <w:rFonts w:ascii="Times New Roman" w:eastAsia="Times New Roman" w:hAnsi="Times New Roman" w:cs="Times New Roman"/>
          <w:lang w:val="pl-PL"/>
        </w:rPr>
        <w:t xml:space="preserve"> </w:t>
      </w:r>
      <w:r w:rsidR="00D138B1">
        <w:rPr>
          <w:rFonts w:ascii="Times New Roman" w:eastAsia="Times New Roman" w:hAnsi="Times New Roman" w:cs="Times New Roman"/>
          <w:lang w:val="pl-PL"/>
        </w:rPr>
        <w:t xml:space="preserve">……………………….. </w:t>
      </w:r>
      <w:r w:rsidRPr="0024129B">
        <w:rPr>
          <w:rFonts w:ascii="Times New Roman" w:eastAsia="Times New Roman" w:hAnsi="Times New Roman" w:cs="Times New Roman"/>
          <w:lang w:val="pl-PL"/>
        </w:rPr>
        <w:t>działający w imieniu: ..................................., z siedzibą w ……………………………………. oświadczam(y), że …………………………………………………………… (</w:t>
      </w:r>
      <w:r w:rsidRPr="0024129B">
        <w:rPr>
          <w:rFonts w:ascii="Times New Roman" w:eastAsia="Times New Roman" w:hAnsi="Times New Roman" w:cs="Times New Roman"/>
          <w:i/>
          <w:lang w:val="pl-PL"/>
        </w:rPr>
        <w:t>imię i nazwisko/firma akcjonariusza</w:t>
      </w:r>
      <w:r w:rsidRPr="0024129B">
        <w:rPr>
          <w:rFonts w:ascii="Times New Roman" w:eastAsia="Times New Roman" w:hAnsi="Times New Roman" w:cs="Times New Roman"/>
          <w:lang w:val="pl-PL"/>
        </w:rPr>
        <w:t>) (dalej Akcjonariusz) jest uprawniony z …………………………………….. (</w:t>
      </w:r>
      <w:r w:rsidRPr="0024129B">
        <w:rPr>
          <w:rFonts w:ascii="Times New Roman" w:eastAsia="Times New Roman" w:hAnsi="Times New Roman" w:cs="Times New Roman"/>
          <w:i/>
          <w:lang w:val="pl-PL"/>
        </w:rPr>
        <w:t>liczba</w:t>
      </w:r>
      <w:r w:rsidRPr="0024129B">
        <w:rPr>
          <w:rFonts w:ascii="Times New Roman" w:eastAsia="Times New Roman" w:hAnsi="Times New Roman" w:cs="Times New Roman"/>
          <w:lang w:val="pl-PL"/>
        </w:rPr>
        <w:t xml:space="preserve">) akcji zwykłych na okaziciela Banku Handlowego w Warszawie S.A. z siedzibą w Warszawie (dalej Bank) i niniejszym upoważniam(y):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Pana/Panią …………………………………………………, legitymującego (legitymującą) się paszportem/dowodem tożsamości/innym urzędowym dokumentem tożsamości …………..…</w:t>
      </w:r>
      <w:r>
        <w:rPr>
          <w:rFonts w:ascii="Times New Roman" w:eastAsia="Times New Roman" w:hAnsi="Times New Roman" w:cs="Times New Roman"/>
          <w:lang w:val="pl-PL"/>
        </w:rPr>
        <w:t>……..</w:t>
      </w:r>
      <w:r w:rsidRPr="0024129B">
        <w:rPr>
          <w:rFonts w:ascii="Times New Roman" w:eastAsia="Times New Roman" w:hAnsi="Times New Roman" w:cs="Times New Roman"/>
          <w:lang w:val="pl-PL"/>
        </w:rPr>
        <w:t xml:space="preserve">…………, </w:t>
      </w:r>
    </w:p>
    <w:p w:rsidR="0024129B" w:rsidRDefault="0024129B" w:rsidP="0024129B">
      <w:pPr>
        <w:spacing w:after="120" w:line="240" w:lineRule="auto"/>
        <w:ind w:left="7" w:hanging="10"/>
        <w:jc w:val="both"/>
        <w:rPr>
          <w:rFonts w:ascii="Times New Roman" w:eastAsia="Times New Roman" w:hAnsi="Times New Roman" w:cs="Times New Roman"/>
          <w:lang w:val="pl-PL"/>
        </w:rPr>
      </w:pPr>
      <w:r w:rsidRPr="0024129B">
        <w:rPr>
          <w:rFonts w:ascii="Times New Roman" w:eastAsia="Times New Roman" w:hAnsi="Times New Roman" w:cs="Times New Roman"/>
          <w:lang w:val="pl-PL"/>
        </w:rPr>
        <w:t xml:space="preserve">albo </w:t>
      </w:r>
    </w:p>
    <w:p w:rsidR="00C51A40" w:rsidRPr="0024129B" w:rsidRDefault="0024129B" w:rsidP="0024129B">
      <w:pPr>
        <w:spacing w:after="120" w:line="240" w:lineRule="auto"/>
        <w:ind w:left="7" w:hanging="10"/>
        <w:jc w:val="both"/>
        <w:rPr>
          <w:rFonts w:ascii="Times New Roman" w:hAnsi="Times New Roman" w:cs="Times New Roman"/>
          <w:lang w:val="pl-PL"/>
        </w:rPr>
      </w:pPr>
      <w:r>
        <w:rPr>
          <w:rFonts w:ascii="Times New Roman" w:eastAsia="Times New Roman" w:hAnsi="Times New Roman" w:cs="Times New Roman"/>
          <w:lang w:val="pl-PL"/>
        </w:rPr>
        <w:t>…</w:t>
      </w:r>
      <w:r w:rsidRPr="0024129B">
        <w:rPr>
          <w:rFonts w:ascii="Times New Roman" w:eastAsia="Times New Roman" w:hAnsi="Times New Roman" w:cs="Times New Roman"/>
          <w:lang w:val="pl-PL"/>
        </w:rPr>
        <w:t>……</w:t>
      </w:r>
      <w:r>
        <w:rPr>
          <w:rFonts w:ascii="Times New Roman" w:eastAsia="Times New Roman" w:hAnsi="Times New Roman" w:cs="Times New Roman"/>
          <w:lang w:val="pl-PL"/>
        </w:rPr>
        <w:t>……………………………</w:t>
      </w:r>
      <w:r w:rsidRPr="0024129B">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r w:rsidRPr="0024129B">
        <w:rPr>
          <w:rFonts w:ascii="Times New Roman" w:eastAsia="Times New Roman" w:hAnsi="Times New Roman" w:cs="Times New Roman"/>
          <w:lang w:val="pl-PL"/>
        </w:rPr>
        <w:t>(</w:t>
      </w:r>
      <w:r>
        <w:rPr>
          <w:rFonts w:ascii="Times New Roman" w:eastAsia="Times New Roman" w:hAnsi="Times New Roman" w:cs="Times New Roman"/>
          <w:i/>
          <w:lang w:val="pl-PL"/>
        </w:rPr>
        <w:t xml:space="preserve">firma </w:t>
      </w:r>
      <w:r w:rsidRPr="0024129B">
        <w:rPr>
          <w:rFonts w:ascii="Times New Roman" w:eastAsia="Times New Roman" w:hAnsi="Times New Roman" w:cs="Times New Roman"/>
          <w:i/>
          <w:lang w:val="pl-PL"/>
        </w:rPr>
        <w:t>podmiotu</w:t>
      </w:r>
      <w:r>
        <w:rPr>
          <w:rFonts w:ascii="Times New Roman" w:eastAsia="Times New Roman" w:hAnsi="Times New Roman" w:cs="Times New Roman"/>
          <w:lang w:val="pl-PL"/>
        </w:rPr>
        <w:t xml:space="preserve">), z siedzibą </w:t>
      </w:r>
      <w:r w:rsidRPr="0024129B">
        <w:rPr>
          <w:rFonts w:ascii="Times New Roman" w:eastAsia="Times New Roman" w:hAnsi="Times New Roman" w:cs="Times New Roman"/>
          <w:lang w:val="pl-PL"/>
        </w:rPr>
        <w:t xml:space="preserve">w …………..…………… i adresem …………..……………, </w:t>
      </w:r>
    </w:p>
    <w:p w:rsidR="00C51A40" w:rsidRDefault="0024129B" w:rsidP="0024129B">
      <w:pPr>
        <w:spacing w:after="120" w:line="240" w:lineRule="auto"/>
        <w:ind w:left="7" w:hanging="10"/>
        <w:jc w:val="both"/>
        <w:rPr>
          <w:rFonts w:ascii="Times New Roman" w:eastAsia="Times New Roman" w:hAnsi="Times New Roman" w:cs="Times New Roman"/>
          <w:lang w:val="pl-PL"/>
        </w:rPr>
      </w:pPr>
      <w:r w:rsidRPr="0024129B">
        <w:rPr>
          <w:rFonts w:ascii="Times New Roman" w:eastAsia="Times New Roman" w:hAnsi="Times New Roman" w:cs="Times New Roman"/>
          <w:lang w:val="pl-PL"/>
        </w:rPr>
        <w:t xml:space="preserve">do reprezentowania Akcjonariusza na Zwyczajnym Walnym Zgromadzeniu Banku, zwołanym na dzień </w:t>
      </w:r>
      <w:r>
        <w:rPr>
          <w:rFonts w:ascii="Times New Roman" w:eastAsia="Times New Roman" w:hAnsi="Times New Roman" w:cs="Times New Roman"/>
          <w:lang w:val="pl-PL"/>
        </w:rPr>
        <w:t>17</w:t>
      </w:r>
      <w:r w:rsidRPr="0024129B">
        <w:rPr>
          <w:rFonts w:ascii="Times New Roman" w:eastAsia="Times New Roman" w:hAnsi="Times New Roman" w:cs="Times New Roman"/>
          <w:lang w:val="pl-PL"/>
        </w:rPr>
        <w:t xml:space="preserve"> czerwca 202</w:t>
      </w:r>
      <w:r>
        <w:rPr>
          <w:rFonts w:ascii="Times New Roman" w:eastAsia="Times New Roman" w:hAnsi="Times New Roman" w:cs="Times New Roman"/>
          <w:lang w:val="pl-PL"/>
        </w:rPr>
        <w:t>1</w:t>
      </w:r>
      <w:r w:rsidRPr="0024129B">
        <w:rPr>
          <w:rFonts w:ascii="Times New Roman" w:eastAsia="Times New Roman" w:hAnsi="Times New Roman" w:cs="Times New Roman"/>
          <w:lang w:val="pl-PL"/>
        </w:rPr>
        <w:t xml:space="preserve"> r., godzina 11.00, przy ul. Traugutta 7/9 w Warszawie (dalej Zwyczajne Walne Zgromadzenie), a w szczególności do udziału i zabierania głosu na Zwyczajnym Walnym Zgromadzeniu, do podpisania listy obecności oraz do głosowania w imieniu Akcjonariusza z ……………(</w:t>
      </w:r>
      <w:r w:rsidRPr="0024129B">
        <w:rPr>
          <w:rFonts w:ascii="Times New Roman" w:eastAsia="Times New Roman" w:hAnsi="Times New Roman" w:cs="Times New Roman"/>
          <w:i/>
          <w:lang w:val="pl-PL"/>
        </w:rPr>
        <w:t>liczba</w:t>
      </w:r>
      <w:r w:rsidRPr="0024129B">
        <w:rPr>
          <w:rFonts w:ascii="Times New Roman" w:eastAsia="Times New Roman" w:hAnsi="Times New Roman" w:cs="Times New Roman"/>
          <w:lang w:val="pl-PL"/>
        </w:rPr>
        <w:t xml:space="preserve">) akcji / ze wszystkich akcji zgodnie z instrukcją co do sposobu głosowania / według uznania pełnomocnika oraz do składania sprzeciwów. </w:t>
      </w:r>
    </w:p>
    <w:p w:rsidR="0024129B" w:rsidRDefault="0024129B" w:rsidP="0024129B">
      <w:pPr>
        <w:spacing w:after="120" w:line="240" w:lineRule="auto"/>
        <w:ind w:left="7" w:hanging="10"/>
        <w:jc w:val="both"/>
        <w:rPr>
          <w:rFonts w:ascii="Times New Roman" w:hAnsi="Times New Roman" w:cs="Times New Roman"/>
          <w:lang w:val="pl-PL"/>
        </w:rPr>
      </w:pPr>
    </w:p>
    <w:p w:rsidR="0024129B" w:rsidRPr="0024129B" w:rsidRDefault="0024129B" w:rsidP="0024129B">
      <w:pPr>
        <w:spacing w:after="120" w:line="240" w:lineRule="auto"/>
        <w:ind w:left="7" w:hanging="10"/>
        <w:jc w:val="both"/>
        <w:rPr>
          <w:rFonts w:ascii="Times New Roman" w:hAnsi="Times New Roman" w:cs="Times New Roman"/>
          <w:lang w:val="pl-PL"/>
        </w:rPr>
      </w:pPr>
    </w:p>
    <w:tbl>
      <w:tblPr>
        <w:tblStyle w:val="TableGrid0"/>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24129B" w:rsidTr="0024129B">
        <w:tc>
          <w:tcPr>
            <w:tcW w:w="4814" w:type="dxa"/>
          </w:tcPr>
          <w:p w:rsidR="0024129B" w:rsidRDefault="0024129B" w:rsidP="0024129B">
            <w:pPr>
              <w:spacing w:after="120"/>
              <w:jc w:val="center"/>
              <w:rPr>
                <w:rFonts w:ascii="Times New Roman" w:hAnsi="Times New Roman" w:cs="Times New Roman"/>
                <w:lang w:val="pl-PL"/>
              </w:rPr>
            </w:pPr>
            <w:r w:rsidRPr="0024129B">
              <w:rPr>
                <w:rFonts w:ascii="Times New Roman" w:eastAsia="Times New Roman" w:hAnsi="Times New Roman" w:cs="Times New Roman"/>
                <w:lang w:val="pl-PL"/>
              </w:rPr>
              <w:t>______________________________</w:t>
            </w:r>
          </w:p>
        </w:tc>
        <w:tc>
          <w:tcPr>
            <w:tcW w:w="4814" w:type="dxa"/>
          </w:tcPr>
          <w:p w:rsidR="0024129B" w:rsidRDefault="0024129B" w:rsidP="0024129B">
            <w:pPr>
              <w:spacing w:after="120"/>
              <w:jc w:val="center"/>
              <w:rPr>
                <w:rFonts w:ascii="Times New Roman" w:hAnsi="Times New Roman" w:cs="Times New Roman"/>
                <w:lang w:val="pl-PL"/>
              </w:rPr>
            </w:pPr>
            <w:r w:rsidRPr="0024129B">
              <w:rPr>
                <w:rFonts w:ascii="Times New Roman" w:eastAsia="Times New Roman" w:hAnsi="Times New Roman" w:cs="Times New Roman"/>
                <w:lang w:val="pl-PL"/>
              </w:rPr>
              <w:t>______________________________</w:t>
            </w:r>
          </w:p>
        </w:tc>
      </w:tr>
      <w:tr w:rsidR="0024129B" w:rsidRPr="00C62814" w:rsidTr="0024129B">
        <w:tc>
          <w:tcPr>
            <w:tcW w:w="4814" w:type="dxa"/>
          </w:tcPr>
          <w:p w:rsidR="0024129B" w:rsidRPr="0024129B" w:rsidRDefault="0024129B" w:rsidP="0024129B">
            <w:pPr>
              <w:spacing w:after="120"/>
              <w:jc w:val="center"/>
              <w:rPr>
                <w:rFonts w:ascii="Times New Roman" w:hAnsi="Times New Roman" w:cs="Times New Roman"/>
                <w:sz w:val="16"/>
                <w:szCs w:val="16"/>
                <w:lang w:val="pl-PL"/>
              </w:rPr>
            </w:pPr>
            <w:r w:rsidRPr="0024129B">
              <w:rPr>
                <w:rFonts w:ascii="Times New Roman" w:eastAsia="Times New Roman" w:hAnsi="Times New Roman" w:cs="Times New Roman"/>
                <w:sz w:val="16"/>
                <w:szCs w:val="16"/>
                <w:lang w:val="pl-PL"/>
              </w:rPr>
              <w:t>[imię i nazwisko, funkcja oraz data]</w:t>
            </w:r>
          </w:p>
        </w:tc>
        <w:tc>
          <w:tcPr>
            <w:tcW w:w="4814" w:type="dxa"/>
          </w:tcPr>
          <w:p w:rsidR="0024129B" w:rsidRPr="0024129B" w:rsidRDefault="0024129B" w:rsidP="0024129B">
            <w:pPr>
              <w:spacing w:after="120"/>
              <w:jc w:val="center"/>
              <w:rPr>
                <w:rFonts w:ascii="Times New Roman" w:hAnsi="Times New Roman" w:cs="Times New Roman"/>
                <w:sz w:val="16"/>
                <w:szCs w:val="16"/>
                <w:lang w:val="pl-PL"/>
              </w:rPr>
            </w:pPr>
            <w:r w:rsidRPr="0024129B">
              <w:rPr>
                <w:rFonts w:ascii="Times New Roman" w:eastAsia="Times New Roman" w:hAnsi="Times New Roman" w:cs="Times New Roman"/>
                <w:sz w:val="16"/>
                <w:szCs w:val="16"/>
                <w:lang w:val="pl-PL"/>
              </w:rPr>
              <w:t>[imię i nazwisko, funkcja oraz data]</w:t>
            </w:r>
          </w:p>
        </w:tc>
      </w:tr>
    </w:tbl>
    <w:p w:rsidR="0024129B" w:rsidRDefault="0024129B" w:rsidP="0024129B">
      <w:pPr>
        <w:spacing w:after="120" w:line="240" w:lineRule="auto"/>
        <w:ind w:left="7" w:hanging="10"/>
        <w:jc w:val="both"/>
        <w:rPr>
          <w:rFonts w:ascii="Times New Roman" w:eastAsia="Times New Roman" w:hAnsi="Times New Roman" w:cs="Times New Roman"/>
          <w:b/>
          <w:lang w:val="pl-PL"/>
        </w:rPr>
      </w:pPr>
    </w:p>
    <w:p w:rsidR="0024129B" w:rsidRDefault="0024129B">
      <w:pPr>
        <w:rPr>
          <w:rFonts w:ascii="Times New Roman" w:eastAsia="Times New Roman" w:hAnsi="Times New Roman" w:cs="Times New Roman"/>
          <w:b/>
          <w:lang w:val="pl-PL"/>
        </w:rPr>
      </w:pPr>
      <w:r>
        <w:rPr>
          <w:rFonts w:ascii="Times New Roman" w:eastAsia="Times New Roman" w:hAnsi="Times New Roman" w:cs="Times New Roman"/>
          <w:b/>
          <w:lang w:val="pl-PL"/>
        </w:rPr>
        <w:br w:type="page"/>
      </w:r>
    </w:p>
    <w:p w:rsidR="00C51A40" w:rsidRPr="0024129B" w:rsidRDefault="0024129B" w:rsidP="0024129B">
      <w:pPr>
        <w:spacing w:after="120" w:line="240" w:lineRule="auto"/>
        <w:ind w:left="7" w:hanging="10"/>
        <w:jc w:val="center"/>
        <w:rPr>
          <w:rFonts w:ascii="Times New Roman" w:hAnsi="Times New Roman" w:cs="Times New Roman"/>
          <w:lang w:val="pl-PL"/>
        </w:rPr>
      </w:pPr>
      <w:r w:rsidRPr="0024129B">
        <w:rPr>
          <w:rFonts w:ascii="Times New Roman" w:eastAsia="Times New Roman" w:hAnsi="Times New Roman" w:cs="Times New Roman"/>
          <w:b/>
          <w:lang w:val="pl-PL"/>
        </w:rPr>
        <w:lastRenderedPageBreak/>
        <w:t xml:space="preserve">PEŁNOMOCNICTWO DO UCZESTNICTWA </w:t>
      </w:r>
      <w:r>
        <w:rPr>
          <w:rFonts w:ascii="Times New Roman" w:eastAsia="Times New Roman" w:hAnsi="Times New Roman" w:cs="Times New Roman"/>
          <w:b/>
          <w:lang w:val="pl-PL"/>
        </w:rPr>
        <w:br/>
      </w:r>
      <w:r w:rsidRPr="0024129B">
        <w:rPr>
          <w:rFonts w:ascii="Times New Roman" w:eastAsia="Times New Roman" w:hAnsi="Times New Roman" w:cs="Times New Roman"/>
          <w:b/>
          <w:lang w:val="pl-PL"/>
        </w:rPr>
        <w:t>W</w:t>
      </w:r>
      <w:r>
        <w:rPr>
          <w:rFonts w:ascii="Times New Roman" w:eastAsia="Times New Roman" w:hAnsi="Times New Roman" w:cs="Times New Roman"/>
          <w:b/>
          <w:lang w:val="pl-PL"/>
        </w:rPr>
        <w:t xml:space="preserve"> </w:t>
      </w:r>
      <w:r w:rsidRPr="0024129B">
        <w:rPr>
          <w:rFonts w:ascii="Times New Roman" w:eastAsia="Times New Roman" w:hAnsi="Times New Roman" w:cs="Times New Roman"/>
          <w:b/>
          <w:lang w:val="pl-PL"/>
        </w:rPr>
        <w:t xml:space="preserve">ZWYCZAJNYM WALNYM ZGROMADZENIU </w:t>
      </w:r>
    </w:p>
    <w:p w:rsidR="00C51A40" w:rsidRPr="0024129B" w:rsidRDefault="0024129B" w:rsidP="0024129B">
      <w:pPr>
        <w:spacing w:after="120" w:line="240" w:lineRule="auto"/>
        <w:ind w:left="2218" w:right="2141" w:hanging="10"/>
        <w:jc w:val="center"/>
        <w:rPr>
          <w:rFonts w:ascii="Times New Roman" w:hAnsi="Times New Roman" w:cs="Times New Roman"/>
          <w:lang w:val="pl-PL"/>
        </w:rPr>
      </w:pPr>
      <w:r w:rsidRPr="0024129B">
        <w:rPr>
          <w:rFonts w:ascii="Times New Roman" w:eastAsia="Times New Roman" w:hAnsi="Times New Roman" w:cs="Times New Roman"/>
          <w:b/>
          <w:lang w:val="pl-PL"/>
        </w:rPr>
        <w:t xml:space="preserve">BANKU HANDLOWEGO W WARSZAWIE S.A. ZWOŁANYM NA DZIEŃ </w:t>
      </w:r>
      <w:r>
        <w:rPr>
          <w:rFonts w:ascii="Times New Roman" w:eastAsia="Times New Roman" w:hAnsi="Times New Roman" w:cs="Times New Roman"/>
          <w:b/>
          <w:lang w:val="pl-PL"/>
        </w:rPr>
        <w:t>17</w:t>
      </w:r>
      <w:r w:rsidRPr="0024129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1</w:t>
      </w:r>
      <w:r w:rsidRPr="0024129B">
        <w:rPr>
          <w:rFonts w:ascii="Times New Roman" w:eastAsia="Times New Roman" w:hAnsi="Times New Roman" w:cs="Times New Roman"/>
          <w:b/>
          <w:lang w:val="pl-PL"/>
        </w:rPr>
        <w:t xml:space="preserve"> R. </w:t>
      </w:r>
    </w:p>
    <w:p w:rsidR="00C51A40" w:rsidRPr="0024129B" w:rsidRDefault="0024129B" w:rsidP="0024129B">
      <w:pPr>
        <w:spacing w:after="120" w:line="240" w:lineRule="auto"/>
        <w:ind w:left="17" w:hanging="10"/>
        <w:jc w:val="center"/>
        <w:rPr>
          <w:rFonts w:ascii="Times New Roman" w:hAnsi="Times New Roman" w:cs="Times New Roman"/>
          <w:lang w:val="pl-PL"/>
        </w:rPr>
      </w:pPr>
      <w:r w:rsidRPr="0024129B">
        <w:rPr>
          <w:rFonts w:ascii="Times New Roman" w:eastAsia="Times New Roman" w:hAnsi="Times New Roman" w:cs="Times New Roman"/>
          <w:lang w:val="pl-PL"/>
        </w:rPr>
        <w:t xml:space="preserve">dla osób fizycznych </w:t>
      </w:r>
    </w:p>
    <w:p w:rsidR="00C51A40" w:rsidRPr="0024129B" w:rsidRDefault="0024129B" w:rsidP="0024129B">
      <w:pPr>
        <w:spacing w:after="120" w:line="240" w:lineRule="auto"/>
        <w:ind w:left="12"/>
        <w:rPr>
          <w:rFonts w:ascii="Times New Roman" w:hAnsi="Times New Roman" w:cs="Times New Roman"/>
          <w:lang w:val="pl-PL"/>
        </w:rPr>
      </w:pPr>
      <w:r w:rsidRPr="0024129B">
        <w:rPr>
          <w:rFonts w:ascii="Times New Roman" w:eastAsia="Times New Roman" w:hAnsi="Times New Roman" w:cs="Times New Roman"/>
          <w:lang w:val="pl-PL"/>
        </w:rPr>
        <w:t xml:space="preserve">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J</w:t>
      </w:r>
      <w:r w:rsidR="00D138B1">
        <w:rPr>
          <w:rFonts w:ascii="Times New Roman" w:eastAsia="Times New Roman" w:hAnsi="Times New Roman" w:cs="Times New Roman"/>
          <w:lang w:val="pl-PL"/>
        </w:rPr>
        <w:t>a niżej podpisany/a ……………………….. (</w:t>
      </w:r>
      <w:r w:rsidR="00D138B1" w:rsidRPr="00D138B1">
        <w:rPr>
          <w:rFonts w:ascii="Times New Roman" w:eastAsia="Times New Roman" w:hAnsi="Times New Roman" w:cs="Times New Roman"/>
          <w:i/>
          <w:lang w:val="pl-PL"/>
        </w:rPr>
        <w:t>imię i nazwisko</w:t>
      </w:r>
      <w:r w:rsidR="00D138B1">
        <w:rPr>
          <w:rFonts w:ascii="Times New Roman" w:eastAsia="Times New Roman" w:hAnsi="Times New Roman" w:cs="Times New Roman"/>
          <w:lang w:val="pl-PL"/>
        </w:rPr>
        <w:t>)</w:t>
      </w:r>
      <w:r w:rsidRPr="0024129B">
        <w:rPr>
          <w:rFonts w:ascii="Times New Roman" w:eastAsia="Times New Roman" w:hAnsi="Times New Roman" w:cs="Times New Roman"/>
          <w:lang w:val="pl-PL"/>
        </w:rPr>
        <w:t>, legitymujący/a się dowodem osobistym nr ……………………….., zamieszkały/a ………………………..</w:t>
      </w:r>
      <w:r w:rsidR="00D138B1">
        <w:rPr>
          <w:rFonts w:ascii="Times New Roman" w:eastAsia="Times New Roman" w:hAnsi="Times New Roman" w:cs="Times New Roman"/>
          <w:lang w:val="pl-PL"/>
        </w:rPr>
        <w:t xml:space="preserve"> (</w:t>
      </w:r>
      <w:r w:rsidRPr="00D138B1">
        <w:rPr>
          <w:rFonts w:ascii="Times New Roman" w:eastAsia="Times New Roman" w:hAnsi="Times New Roman" w:cs="Times New Roman"/>
          <w:i/>
          <w:lang w:val="pl-PL"/>
        </w:rPr>
        <w:t>adres</w:t>
      </w:r>
      <w:r w:rsidR="00D138B1">
        <w:rPr>
          <w:rFonts w:ascii="Times New Roman" w:eastAsia="Times New Roman" w:hAnsi="Times New Roman" w:cs="Times New Roman"/>
          <w:lang w:val="pl-PL"/>
        </w:rPr>
        <w:t>)</w:t>
      </w:r>
      <w:r w:rsidRPr="0024129B">
        <w:rPr>
          <w:rFonts w:ascii="Times New Roman" w:eastAsia="Times New Roman" w:hAnsi="Times New Roman" w:cs="Times New Roman"/>
          <w:lang w:val="pl-PL"/>
        </w:rPr>
        <w:t xml:space="preserve"> oświadczam, że jestem akcjonariuszem Banku Handlowego w Warszawie S.A., uprawnionym z …………………………………….. (</w:t>
      </w:r>
      <w:r w:rsidRPr="0024129B">
        <w:rPr>
          <w:rFonts w:ascii="Times New Roman" w:eastAsia="Times New Roman" w:hAnsi="Times New Roman" w:cs="Times New Roman"/>
          <w:i/>
          <w:lang w:val="pl-PL"/>
        </w:rPr>
        <w:t>liczba</w:t>
      </w:r>
      <w:r w:rsidRPr="0024129B">
        <w:rPr>
          <w:rFonts w:ascii="Times New Roman" w:eastAsia="Times New Roman" w:hAnsi="Times New Roman" w:cs="Times New Roman"/>
          <w:lang w:val="pl-PL"/>
        </w:rPr>
        <w:t xml:space="preserve">) akcji zwykłych na okaziciela Banku Handlowego w Warszawie S.A. z siedzibą w Warszawie (dalej Bank) i niniejszym upoważniam: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 xml:space="preserve">Pana/Panią …………………………………………………, legitymującego (legitymującą) się paszportem/dowodem tożsamości/innym urzędowym dokumentem tożsamości …………..……………,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 xml:space="preserve">albo </w:t>
      </w:r>
    </w:p>
    <w:p w:rsidR="00C51A40" w:rsidRPr="0024129B" w:rsidRDefault="0024129B" w:rsidP="0024129B">
      <w:pPr>
        <w:tabs>
          <w:tab w:val="center" w:pos="6287"/>
          <w:tab w:val="center" w:pos="7456"/>
          <w:tab w:val="center" w:pos="8492"/>
          <w:tab w:val="right" w:pos="9655"/>
        </w:tabs>
        <w:spacing w:after="120" w:line="240" w:lineRule="auto"/>
        <w:ind w:left="-3"/>
        <w:jc w:val="both"/>
        <w:rPr>
          <w:rFonts w:ascii="Times New Roman" w:hAnsi="Times New Roman" w:cs="Times New Roman"/>
          <w:lang w:val="pl-PL"/>
        </w:rPr>
      </w:pPr>
      <w:r w:rsidRPr="0024129B">
        <w:rPr>
          <w:rFonts w:ascii="Times New Roman" w:eastAsia="Times New Roman" w:hAnsi="Times New Roman" w:cs="Times New Roman"/>
          <w:lang w:val="pl-PL"/>
        </w:rPr>
        <w:t>…………………………………………………(</w:t>
      </w:r>
      <w:r w:rsidRPr="0024129B">
        <w:rPr>
          <w:rFonts w:ascii="Times New Roman" w:eastAsia="Times New Roman" w:hAnsi="Times New Roman" w:cs="Times New Roman"/>
          <w:i/>
          <w:lang w:val="pl-PL"/>
        </w:rPr>
        <w:t>firma podmiotu</w:t>
      </w:r>
      <w:r w:rsidRPr="0024129B">
        <w:rPr>
          <w:rFonts w:ascii="Times New Roman" w:eastAsia="Times New Roman" w:hAnsi="Times New Roman" w:cs="Times New Roman"/>
          <w:lang w:val="pl-PL"/>
        </w:rPr>
        <w:t xml:space="preserve">), z </w:t>
      </w:r>
      <w:r w:rsidRPr="0024129B">
        <w:rPr>
          <w:rFonts w:ascii="Times New Roman" w:eastAsia="Times New Roman" w:hAnsi="Times New Roman" w:cs="Times New Roman"/>
          <w:lang w:val="pl-PL"/>
        </w:rPr>
        <w:tab/>
        <w:t xml:space="preserve">siedzibą w …………..…………… i adresem …………..……………,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 xml:space="preserve">do reprezentowania Akcjonariusza na Zwyczajnym Walnym Zgromadzeniu Banku, zwołanym na dzień </w:t>
      </w:r>
      <w:r>
        <w:rPr>
          <w:rFonts w:ascii="Times New Roman" w:eastAsia="Times New Roman" w:hAnsi="Times New Roman" w:cs="Times New Roman"/>
          <w:lang w:val="pl-PL"/>
        </w:rPr>
        <w:t>17</w:t>
      </w:r>
      <w:r w:rsidRPr="0024129B">
        <w:rPr>
          <w:rFonts w:ascii="Times New Roman" w:eastAsia="Times New Roman" w:hAnsi="Times New Roman" w:cs="Times New Roman"/>
          <w:lang w:val="pl-PL"/>
        </w:rPr>
        <w:t xml:space="preserve"> czerwca 202</w:t>
      </w:r>
      <w:r>
        <w:rPr>
          <w:rFonts w:ascii="Times New Roman" w:eastAsia="Times New Roman" w:hAnsi="Times New Roman" w:cs="Times New Roman"/>
          <w:lang w:val="pl-PL"/>
        </w:rPr>
        <w:t>1</w:t>
      </w:r>
      <w:r w:rsidRPr="0024129B">
        <w:rPr>
          <w:rFonts w:ascii="Times New Roman" w:eastAsia="Times New Roman" w:hAnsi="Times New Roman" w:cs="Times New Roman"/>
          <w:lang w:val="pl-PL"/>
        </w:rPr>
        <w:t xml:space="preserve"> r., godzina 11.00, przy ul. Traugutta 7/9 w Warszawie (dalej Zwyczajne Walne Zgromadzenie), a w szczególności do udziału i zabierania głosu na Zwyczajnym Walnym Zgromadzeniu, do podpisania listy obecności oraz do głosowania w imieniu Akcjonariusza z ……………</w:t>
      </w:r>
      <w:r>
        <w:rPr>
          <w:rFonts w:ascii="Times New Roman" w:eastAsia="Times New Roman" w:hAnsi="Times New Roman" w:cs="Times New Roman"/>
          <w:lang w:val="pl-PL"/>
        </w:rPr>
        <w:t xml:space="preserve"> </w:t>
      </w:r>
      <w:r w:rsidRPr="0024129B">
        <w:rPr>
          <w:rFonts w:ascii="Times New Roman" w:eastAsia="Times New Roman" w:hAnsi="Times New Roman" w:cs="Times New Roman"/>
          <w:lang w:val="pl-PL"/>
        </w:rPr>
        <w:t>(</w:t>
      </w:r>
      <w:r w:rsidRPr="0024129B">
        <w:rPr>
          <w:rFonts w:ascii="Times New Roman" w:eastAsia="Times New Roman" w:hAnsi="Times New Roman" w:cs="Times New Roman"/>
          <w:i/>
          <w:lang w:val="pl-PL"/>
        </w:rPr>
        <w:t>liczba</w:t>
      </w:r>
      <w:r w:rsidRPr="0024129B">
        <w:rPr>
          <w:rFonts w:ascii="Times New Roman" w:eastAsia="Times New Roman" w:hAnsi="Times New Roman" w:cs="Times New Roman"/>
          <w:lang w:val="pl-PL"/>
        </w:rPr>
        <w:t xml:space="preserve">) akcji / ze wszystkich akcji zgodnie z instrukcją co do sposobu głosowania / według uznania pełnomocnika. </w:t>
      </w:r>
    </w:p>
    <w:p w:rsidR="0024129B" w:rsidRDefault="0024129B" w:rsidP="0024129B">
      <w:pPr>
        <w:spacing w:after="120" w:line="240" w:lineRule="auto"/>
        <w:ind w:left="12"/>
        <w:rPr>
          <w:rFonts w:ascii="Times New Roman" w:eastAsia="Times New Roman" w:hAnsi="Times New Roman" w:cs="Times New Roman"/>
          <w:lang w:val="pl-PL"/>
        </w:rPr>
      </w:pPr>
    </w:p>
    <w:p w:rsidR="0024129B" w:rsidRDefault="0024129B" w:rsidP="0024129B">
      <w:pPr>
        <w:spacing w:after="120" w:line="240" w:lineRule="auto"/>
        <w:ind w:left="12"/>
        <w:rPr>
          <w:rFonts w:ascii="Times New Roman" w:eastAsia="Times New Roman" w:hAnsi="Times New Roman" w:cs="Times New Roman"/>
          <w:lang w:val="pl-PL"/>
        </w:rPr>
      </w:pPr>
    </w:p>
    <w:tbl>
      <w:tblPr>
        <w:tblStyle w:val="TableGrid0"/>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24129B" w:rsidTr="0024129B">
        <w:tc>
          <w:tcPr>
            <w:tcW w:w="4814" w:type="dxa"/>
          </w:tcPr>
          <w:p w:rsidR="0024129B" w:rsidRDefault="0024129B" w:rsidP="0024129B">
            <w:pPr>
              <w:spacing w:after="120"/>
              <w:jc w:val="center"/>
              <w:rPr>
                <w:rFonts w:ascii="Times New Roman" w:hAnsi="Times New Roman" w:cs="Times New Roman"/>
                <w:lang w:val="pl-PL"/>
              </w:rPr>
            </w:pPr>
          </w:p>
        </w:tc>
        <w:tc>
          <w:tcPr>
            <w:tcW w:w="4814" w:type="dxa"/>
          </w:tcPr>
          <w:p w:rsidR="0024129B" w:rsidRDefault="0024129B" w:rsidP="0024129B">
            <w:pPr>
              <w:spacing w:after="120"/>
              <w:jc w:val="center"/>
              <w:rPr>
                <w:rFonts w:ascii="Times New Roman" w:hAnsi="Times New Roman" w:cs="Times New Roman"/>
                <w:lang w:val="pl-PL"/>
              </w:rPr>
            </w:pPr>
            <w:r w:rsidRPr="0024129B">
              <w:rPr>
                <w:rFonts w:ascii="Times New Roman" w:eastAsia="Times New Roman" w:hAnsi="Times New Roman" w:cs="Times New Roman"/>
                <w:lang w:val="pl-PL"/>
              </w:rPr>
              <w:t>______________________________</w:t>
            </w:r>
          </w:p>
        </w:tc>
      </w:tr>
      <w:tr w:rsidR="0024129B" w:rsidRPr="00C62814" w:rsidTr="0024129B">
        <w:tc>
          <w:tcPr>
            <w:tcW w:w="4814" w:type="dxa"/>
          </w:tcPr>
          <w:p w:rsidR="0024129B" w:rsidRPr="0024129B" w:rsidRDefault="0024129B" w:rsidP="0024129B">
            <w:pPr>
              <w:spacing w:after="120"/>
              <w:jc w:val="center"/>
              <w:rPr>
                <w:rFonts w:ascii="Times New Roman" w:hAnsi="Times New Roman" w:cs="Times New Roman"/>
                <w:sz w:val="16"/>
                <w:szCs w:val="16"/>
                <w:lang w:val="pl-PL"/>
              </w:rPr>
            </w:pPr>
          </w:p>
        </w:tc>
        <w:tc>
          <w:tcPr>
            <w:tcW w:w="4814" w:type="dxa"/>
          </w:tcPr>
          <w:p w:rsidR="0024129B" w:rsidRPr="0024129B" w:rsidRDefault="0024129B" w:rsidP="0024129B">
            <w:pPr>
              <w:spacing w:after="120"/>
              <w:jc w:val="center"/>
              <w:rPr>
                <w:rFonts w:ascii="Times New Roman" w:hAnsi="Times New Roman" w:cs="Times New Roman"/>
                <w:sz w:val="16"/>
                <w:szCs w:val="16"/>
                <w:lang w:val="pl-PL"/>
              </w:rPr>
            </w:pPr>
            <w:r>
              <w:rPr>
                <w:rFonts w:ascii="Times New Roman" w:eastAsia="Times New Roman" w:hAnsi="Times New Roman" w:cs="Times New Roman"/>
                <w:sz w:val="16"/>
                <w:szCs w:val="16"/>
                <w:lang w:val="pl-PL"/>
              </w:rPr>
              <w:t xml:space="preserve">[imię i nazwisko </w:t>
            </w:r>
            <w:r w:rsidRPr="0024129B">
              <w:rPr>
                <w:rFonts w:ascii="Times New Roman" w:eastAsia="Times New Roman" w:hAnsi="Times New Roman" w:cs="Times New Roman"/>
                <w:sz w:val="16"/>
                <w:szCs w:val="16"/>
                <w:lang w:val="pl-PL"/>
              </w:rPr>
              <w:t>oraz data]</w:t>
            </w:r>
          </w:p>
        </w:tc>
      </w:tr>
    </w:tbl>
    <w:p w:rsidR="00C51A40" w:rsidRPr="0024129B" w:rsidRDefault="0024129B" w:rsidP="0024129B">
      <w:pPr>
        <w:spacing w:after="120" w:line="240" w:lineRule="auto"/>
        <w:ind w:left="12"/>
        <w:rPr>
          <w:rFonts w:ascii="Times New Roman" w:hAnsi="Times New Roman" w:cs="Times New Roman"/>
          <w:lang w:val="pl-PL"/>
        </w:rPr>
      </w:pPr>
      <w:r w:rsidRPr="0024129B">
        <w:rPr>
          <w:rFonts w:ascii="Times New Roman" w:eastAsia="Times New Roman" w:hAnsi="Times New Roman" w:cs="Times New Roman"/>
          <w:lang w:val="pl-PL"/>
        </w:rPr>
        <w:t xml:space="preserve"> </w:t>
      </w:r>
    </w:p>
    <w:p w:rsidR="00C51A40" w:rsidRPr="0024129B" w:rsidRDefault="0024129B" w:rsidP="0024129B">
      <w:pPr>
        <w:spacing w:after="120" w:line="240" w:lineRule="auto"/>
        <w:ind w:left="2213"/>
        <w:rPr>
          <w:rFonts w:ascii="Times New Roman" w:hAnsi="Times New Roman" w:cs="Times New Roman"/>
          <w:lang w:val="pl-PL"/>
        </w:rPr>
      </w:pPr>
      <w:r w:rsidRPr="0024129B">
        <w:rPr>
          <w:rFonts w:ascii="Times New Roman" w:eastAsia="Times New Roman" w:hAnsi="Times New Roman" w:cs="Times New Roman"/>
          <w:lang w:val="pl-PL"/>
        </w:rPr>
        <w:t xml:space="preserve"> </w:t>
      </w:r>
    </w:p>
    <w:p w:rsidR="0024129B" w:rsidRDefault="0024129B">
      <w:pPr>
        <w:rPr>
          <w:rFonts w:ascii="Times New Roman" w:hAnsi="Times New Roman" w:cs="Times New Roman"/>
          <w:lang w:val="pl-PL"/>
        </w:rPr>
      </w:pPr>
      <w:r>
        <w:rPr>
          <w:rFonts w:ascii="Times New Roman" w:hAnsi="Times New Roman" w:cs="Times New Roman"/>
          <w:lang w:val="pl-PL"/>
        </w:rPr>
        <w:br w:type="page"/>
      </w:r>
    </w:p>
    <w:p w:rsidR="00C51A40" w:rsidRPr="0024129B" w:rsidRDefault="0024129B" w:rsidP="0024129B">
      <w:pPr>
        <w:spacing w:after="120" w:line="240" w:lineRule="auto"/>
        <w:ind w:left="2218" w:right="2198" w:hanging="10"/>
        <w:jc w:val="center"/>
        <w:rPr>
          <w:rFonts w:ascii="Times New Roman" w:hAnsi="Times New Roman" w:cs="Times New Roman"/>
        </w:rPr>
      </w:pPr>
      <w:r w:rsidRPr="0024129B">
        <w:rPr>
          <w:rFonts w:ascii="Times New Roman" w:eastAsia="Times New Roman" w:hAnsi="Times New Roman" w:cs="Times New Roman"/>
          <w:b/>
        </w:rPr>
        <w:lastRenderedPageBreak/>
        <w:t xml:space="preserve">INFORMACJE DLA AKCJONARIUSZA: </w:t>
      </w:r>
    </w:p>
    <w:p w:rsidR="00C51A40" w:rsidRPr="0024129B" w:rsidRDefault="0024129B" w:rsidP="0024129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W przypadku rozbieżności pomiędzy danymi Akcjonariusza Banku wskazanymi w pełnomocnictwie a danymi znajdującymi się na liście akcjonariuszy sporządzonej w oparciu o wykaz otrzymany od Krajowego Depozytu Papierów Wartościowych S.A. i przekazanego Bankowi na podstawie art. 406 (3) Kodeksu spółek handlowych Akcjonariusz Banku może nie zostać dopuszczony do uczestnictwa w Zwyczajnym Walnym Zgromadzeniu. </w:t>
      </w:r>
    </w:p>
    <w:p w:rsidR="00C51A40" w:rsidRPr="0024129B" w:rsidRDefault="0024129B" w:rsidP="0024129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Instrukcja zamieszczona poniżej dotycząca sposobu głosowania nad poszczególnymi uchwałami podczas Zwyczajnego Walnego Zgromadzenia jest dokumentem poufnym, pomiędzy Akcjonariuszem Banku a jego pełnomocnikiem i nie powinna być ujawniona osobom postronnym, w szczególności Bankowi, zarówno przed jak i po odbyciu Zwyczajnego Walnego Zgromadzenia.  </w:t>
      </w:r>
    </w:p>
    <w:p w:rsidR="00C51A40" w:rsidRPr="0024129B" w:rsidRDefault="0024129B" w:rsidP="0024129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Oddanie przez pełnomocnika głosu w sposób niezgodny z instrukcją udzieloną mu przez akcjonariusza Banku nie wpływa na ważność głosowania. </w:t>
      </w:r>
    </w:p>
    <w:p w:rsidR="00C51A40" w:rsidRPr="0024129B" w:rsidRDefault="0024129B" w:rsidP="0024129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Wykorzystanie niniejszego formularza zależy tylko i wyłącznie od decyzji Akcjonariusza Banku. Akcjonariusz ma prawo do udzielenia pełnomocnictwa w innej formie, pod warunkiem, iż treść takiego pełnomocnictwa umożliwi: </w:t>
      </w:r>
    </w:p>
    <w:p w:rsidR="00C51A40" w:rsidRPr="0024129B" w:rsidRDefault="0024129B" w:rsidP="0024129B">
      <w:pPr>
        <w:numPr>
          <w:ilvl w:val="1"/>
          <w:numId w:val="1"/>
        </w:numPr>
        <w:spacing w:after="120" w:line="240" w:lineRule="auto"/>
        <w:ind w:hanging="360"/>
        <w:jc w:val="both"/>
        <w:rPr>
          <w:rFonts w:ascii="Times New Roman" w:hAnsi="Times New Roman" w:cs="Times New Roman"/>
          <w:lang w:val="pl-PL"/>
        </w:rPr>
      </w:pPr>
      <w:r w:rsidRPr="0024129B">
        <w:rPr>
          <w:rFonts w:ascii="Times New Roman" w:eastAsia="Times New Roman" w:hAnsi="Times New Roman" w:cs="Times New Roman"/>
          <w:lang w:val="pl-PL"/>
        </w:rPr>
        <w:t xml:space="preserve">identyfikację Akcjonariusza oddającego głos oraz jego pełnomocnika; </w:t>
      </w:r>
    </w:p>
    <w:p w:rsidR="00C51A40" w:rsidRPr="0024129B" w:rsidRDefault="0024129B" w:rsidP="0024129B">
      <w:pPr>
        <w:numPr>
          <w:ilvl w:val="1"/>
          <w:numId w:val="1"/>
        </w:numPr>
        <w:spacing w:after="120" w:line="240" w:lineRule="auto"/>
        <w:ind w:hanging="360"/>
        <w:jc w:val="both"/>
        <w:rPr>
          <w:rFonts w:ascii="Times New Roman" w:hAnsi="Times New Roman" w:cs="Times New Roman"/>
          <w:lang w:val="pl-PL"/>
        </w:rPr>
      </w:pPr>
      <w:r w:rsidRPr="0024129B">
        <w:rPr>
          <w:rFonts w:ascii="Times New Roman" w:eastAsia="Times New Roman" w:hAnsi="Times New Roman" w:cs="Times New Roman"/>
          <w:lang w:val="pl-PL"/>
        </w:rPr>
        <w:t xml:space="preserve">oddanie głosu w rozumieniu </w:t>
      </w:r>
      <w:r w:rsidRPr="00223F2E">
        <w:rPr>
          <w:rFonts w:ascii="Times New Roman" w:eastAsia="Times New Roman" w:hAnsi="Times New Roman" w:cs="Times New Roman"/>
          <w:lang w:val="pl-PL"/>
        </w:rPr>
        <w:t>art. 4 § 1 pkt 9</w:t>
      </w:r>
      <w:r w:rsidRPr="0024129B">
        <w:rPr>
          <w:rFonts w:ascii="Times New Roman" w:eastAsia="Times New Roman" w:hAnsi="Times New Roman" w:cs="Times New Roman"/>
          <w:lang w:val="pl-PL"/>
        </w:rPr>
        <w:t xml:space="preserve"> Kodeksu spółek handlowych; </w:t>
      </w:r>
    </w:p>
    <w:p w:rsidR="00C51A40" w:rsidRPr="0024129B" w:rsidRDefault="0024129B" w:rsidP="0024129B">
      <w:pPr>
        <w:numPr>
          <w:ilvl w:val="1"/>
          <w:numId w:val="1"/>
        </w:numPr>
        <w:spacing w:after="120" w:line="240" w:lineRule="auto"/>
        <w:ind w:hanging="360"/>
        <w:jc w:val="both"/>
        <w:rPr>
          <w:rFonts w:ascii="Times New Roman" w:hAnsi="Times New Roman" w:cs="Times New Roman"/>
          <w:lang w:val="pl-PL"/>
        </w:rPr>
      </w:pPr>
      <w:r w:rsidRPr="0024129B">
        <w:rPr>
          <w:rFonts w:ascii="Times New Roman" w:eastAsia="Times New Roman" w:hAnsi="Times New Roman" w:cs="Times New Roman"/>
          <w:lang w:val="pl-PL"/>
        </w:rPr>
        <w:t xml:space="preserve">złożenie sprzeciwu przez Akcjonariuszy głosujących przeciwko uchwale; oraz </w:t>
      </w:r>
    </w:p>
    <w:p w:rsidR="00C51A40" w:rsidRPr="0024129B" w:rsidRDefault="0024129B" w:rsidP="0024129B">
      <w:pPr>
        <w:numPr>
          <w:ilvl w:val="1"/>
          <w:numId w:val="1"/>
        </w:numPr>
        <w:spacing w:after="120" w:line="240" w:lineRule="auto"/>
        <w:ind w:hanging="360"/>
        <w:jc w:val="both"/>
        <w:rPr>
          <w:rFonts w:ascii="Times New Roman" w:hAnsi="Times New Roman" w:cs="Times New Roman"/>
          <w:lang w:val="pl-PL"/>
        </w:rPr>
      </w:pPr>
      <w:r w:rsidRPr="0024129B">
        <w:rPr>
          <w:rFonts w:ascii="Times New Roman" w:eastAsia="Times New Roman" w:hAnsi="Times New Roman" w:cs="Times New Roman"/>
          <w:lang w:val="pl-PL"/>
        </w:rPr>
        <w:t xml:space="preserve">zamieszczenie instrukcji dotyczących sposobu głosowania w odniesieniu do każdej z uchwał, nad którą głosować ma pełnomocnik Akcjonariusza. </w:t>
      </w:r>
    </w:p>
    <w:p w:rsidR="00C51A40" w:rsidRPr="0024129B" w:rsidRDefault="0024129B" w:rsidP="0024129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Zawiadomienie o udzieleniu lub odwołaniu pełnomocnictwa w postaci elektronicznej powinno zostać dokonane najpóźniej </w:t>
      </w:r>
      <w:r w:rsidRPr="00223F2E">
        <w:rPr>
          <w:rFonts w:ascii="Times New Roman" w:eastAsia="Times New Roman" w:hAnsi="Times New Roman" w:cs="Times New Roman"/>
          <w:lang w:val="pl-PL"/>
        </w:rPr>
        <w:t>do godziny 15.00</w:t>
      </w:r>
      <w:r w:rsidRPr="0024129B">
        <w:rPr>
          <w:rFonts w:ascii="Times New Roman" w:eastAsia="Times New Roman" w:hAnsi="Times New Roman" w:cs="Times New Roman"/>
          <w:lang w:val="pl-PL"/>
        </w:rPr>
        <w:t xml:space="preserve"> w dniu roboczym poprzedzającym dzień Zwyczajnego Walnego Zgromadzenia. </w:t>
      </w:r>
    </w:p>
    <w:p w:rsidR="005046EB" w:rsidRPr="005046EB" w:rsidRDefault="0024129B" w:rsidP="0024129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Ryzyko związane z użyciem elektronicznej formy komunikacji leży po stronie Akcjonariusza. </w:t>
      </w:r>
    </w:p>
    <w:p w:rsidR="005046EB" w:rsidRDefault="0024129B" w:rsidP="005046EB">
      <w:pPr>
        <w:numPr>
          <w:ilvl w:val="0"/>
          <w:numId w:val="1"/>
        </w:numPr>
        <w:spacing w:after="120" w:line="240" w:lineRule="auto"/>
        <w:ind w:hanging="567"/>
        <w:jc w:val="both"/>
        <w:rPr>
          <w:rFonts w:ascii="Times New Roman" w:hAnsi="Times New Roman" w:cs="Times New Roman"/>
          <w:lang w:val="pl-PL"/>
        </w:rPr>
      </w:pPr>
      <w:r w:rsidRPr="0024129B">
        <w:rPr>
          <w:rFonts w:ascii="Times New Roman" w:eastAsia="Times New Roman" w:hAnsi="Times New Roman" w:cs="Times New Roman"/>
          <w:lang w:val="pl-PL"/>
        </w:rPr>
        <w:t xml:space="preserve">W celu weryfikacji ważności pełnomocnictwa udzielonego w formie elektronicznej oraz w celu identyfikacji Akcjonariusza i pełnomocnika, po otrzymaniu zawiadomienia o udzieleniu pełnomocnictwa w formie elektronicznej Bank sprawdza, czy załączone zostały skany dokumentów umożliwiających identyfikację i weryfikację akcjonariusza oraz pełnomocnika, a także czy w przypadku osób prawnych i jednostek organizacyjnych, czy zostały zachowane zasady reprezentacji tych podmiotów. Ponadto, Bank ma prawo skontaktować się telefonicznie, przy wykorzystaniu numeru wskazanego przez akcjonariusza lub wysłać wiadomość zwrotną w celu weryfikacji faktu udzielenia przez danego akcjonariusza pełnomocnictwa w postaci elektronicznej. Bank ma prawo skontaktować się zarówno z akcjonariuszem jak i z pełnomocnikiem. </w:t>
      </w:r>
    </w:p>
    <w:p w:rsidR="00C51A40" w:rsidRPr="005046EB" w:rsidRDefault="0024129B" w:rsidP="005046EB">
      <w:pPr>
        <w:numPr>
          <w:ilvl w:val="0"/>
          <w:numId w:val="1"/>
        </w:numPr>
        <w:spacing w:after="120" w:line="240" w:lineRule="auto"/>
        <w:ind w:hanging="567"/>
        <w:jc w:val="both"/>
        <w:rPr>
          <w:rFonts w:ascii="Times New Roman" w:hAnsi="Times New Roman" w:cs="Times New Roman"/>
          <w:lang w:val="pl-PL"/>
        </w:rPr>
      </w:pPr>
      <w:r w:rsidRPr="005046EB">
        <w:rPr>
          <w:rFonts w:ascii="Times New Roman" w:eastAsia="Times New Roman" w:hAnsi="Times New Roman" w:cs="Times New Roman"/>
          <w:lang w:val="pl-PL"/>
        </w:rPr>
        <w:t xml:space="preserve">Wszelkie dokumenty przesyłane do Banku drogą elektroniczną powinny być zeskanowane do formatu PDF. </w:t>
      </w:r>
    </w:p>
    <w:p w:rsidR="005046EB" w:rsidRDefault="0024129B" w:rsidP="0024129B">
      <w:pPr>
        <w:spacing w:after="120" w:line="240" w:lineRule="auto"/>
        <w:ind w:left="12"/>
        <w:rPr>
          <w:rFonts w:ascii="Times New Roman" w:eastAsia="Times New Roman" w:hAnsi="Times New Roman" w:cs="Times New Roman"/>
          <w:lang w:val="pl-PL"/>
        </w:rPr>
      </w:pPr>
      <w:r w:rsidRPr="0024129B">
        <w:rPr>
          <w:rFonts w:ascii="Times New Roman" w:eastAsia="Times New Roman" w:hAnsi="Times New Roman" w:cs="Times New Roman"/>
          <w:lang w:val="pl-PL"/>
        </w:rPr>
        <w:t xml:space="preserve"> </w:t>
      </w:r>
    </w:p>
    <w:p w:rsidR="005046EB" w:rsidRDefault="005046EB">
      <w:pPr>
        <w:rPr>
          <w:rFonts w:ascii="Times New Roman" w:eastAsia="Times New Roman" w:hAnsi="Times New Roman" w:cs="Times New Roman"/>
          <w:lang w:val="pl-PL"/>
        </w:rPr>
      </w:pPr>
      <w:r>
        <w:rPr>
          <w:rFonts w:ascii="Times New Roman" w:eastAsia="Times New Roman" w:hAnsi="Times New Roman" w:cs="Times New Roman"/>
          <w:lang w:val="pl-PL"/>
        </w:rPr>
        <w:br w:type="page"/>
      </w:r>
    </w:p>
    <w:p w:rsidR="00C51A40" w:rsidRPr="0024129B" w:rsidRDefault="0024129B" w:rsidP="0024129B">
      <w:pPr>
        <w:spacing w:after="120" w:line="240" w:lineRule="auto"/>
        <w:ind w:left="22" w:hanging="10"/>
        <w:jc w:val="both"/>
        <w:rPr>
          <w:rFonts w:ascii="Times New Roman" w:hAnsi="Times New Roman" w:cs="Times New Roman"/>
          <w:lang w:val="pl-PL"/>
        </w:rPr>
      </w:pPr>
      <w:r w:rsidRPr="0024129B">
        <w:rPr>
          <w:rFonts w:ascii="Times New Roman" w:eastAsia="Times New Roman" w:hAnsi="Times New Roman" w:cs="Times New Roman"/>
          <w:lang w:val="pl-PL"/>
        </w:rPr>
        <w:lastRenderedPageBreak/>
        <w:t>DO: [</w:t>
      </w:r>
      <w:r w:rsidRPr="0024129B">
        <w:rPr>
          <w:rFonts w:ascii="Times New Roman" w:eastAsia="Times New Roman" w:hAnsi="Times New Roman" w:cs="Times New Roman"/>
          <w:i/>
          <w:lang w:val="pl-PL"/>
        </w:rPr>
        <w:t>___________________________________</w:t>
      </w:r>
      <w:r w:rsidRPr="0024129B">
        <w:rPr>
          <w:rFonts w:ascii="Times New Roman" w:eastAsia="Times New Roman" w:hAnsi="Times New Roman" w:cs="Times New Roman"/>
          <w:lang w:val="pl-PL"/>
        </w:rPr>
        <w:t xml:space="preserve">] </w:t>
      </w:r>
    </w:p>
    <w:p w:rsidR="0024129B" w:rsidRPr="005046EB" w:rsidRDefault="0024129B" w:rsidP="005046EB">
      <w:pPr>
        <w:spacing w:after="120" w:line="240" w:lineRule="auto"/>
        <w:ind w:left="12"/>
        <w:rPr>
          <w:rFonts w:ascii="Times New Roman" w:hAnsi="Times New Roman" w:cs="Times New Roman"/>
          <w:lang w:val="pl-PL"/>
        </w:rPr>
      </w:pPr>
      <w:r w:rsidRPr="0024129B">
        <w:rPr>
          <w:rFonts w:ascii="Times New Roman" w:eastAsia="Times New Roman" w:hAnsi="Times New Roman" w:cs="Times New Roman"/>
          <w:b/>
          <w:lang w:val="pl-PL"/>
        </w:rPr>
        <w:t xml:space="preserve"> </w:t>
      </w:r>
    </w:p>
    <w:p w:rsidR="00C51A40" w:rsidRPr="0024129B" w:rsidRDefault="0024129B" w:rsidP="0024129B">
      <w:pPr>
        <w:spacing w:after="120" w:line="240" w:lineRule="auto"/>
        <w:ind w:left="10" w:hanging="10"/>
        <w:jc w:val="center"/>
        <w:rPr>
          <w:rFonts w:ascii="Times New Roman" w:hAnsi="Times New Roman" w:cs="Times New Roman"/>
          <w:lang w:val="pl-PL"/>
        </w:rPr>
      </w:pPr>
      <w:r w:rsidRPr="0024129B">
        <w:rPr>
          <w:rFonts w:ascii="Times New Roman" w:eastAsia="Times New Roman" w:hAnsi="Times New Roman" w:cs="Times New Roman"/>
          <w:b/>
          <w:lang w:val="pl-PL"/>
        </w:rPr>
        <w:t xml:space="preserve">INSTRUKCJA DOTYCZĄCA WYKONYWANIA PRAWA GŁOSU POPRZEZ PEŁNOMOCNIKA </w:t>
      </w:r>
    </w:p>
    <w:p w:rsidR="00C51A40" w:rsidRPr="0024129B" w:rsidRDefault="0024129B" w:rsidP="0024129B">
      <w:pPr>
        <w:spacing w:after="120" w:line="240" w:lineRule="auto"/>
        <w:ind w:left="12"/>
        <w:rPr>
          <w:rFonts w:ascii="Times New Roman" w:hAnsi="Times New Roman" w:cs="Times New Roman"/>
          <w:lang w:val="pl-PL"/>
        </w:rPr>
      </w:pPr>
      <w:r w:rsidRPr="0024129B">
        <w:rPr>
          <w:rFonts w:ascii="Times New Roman" w:eastAsia="Times New Roman" w:hAnsi="Times New Roman" w:cs="Times New Roman"/>
          <w:lang w:val="pl-PL"/>
        </w:rPr>
        <w:t xml:space="preserve"> </w:t>
      </w:r>
    </w:p>
    <w:p w:rsidR="00C51A40" w:rsidRPr="0024129B" w:rsidRDefault="0024129B" w:rsidP="0024129B">
      <w:pPr>
        <w:spacing w:after="120" w:line="240" w:lineRule="auto"/>
        <w:ind w:left="7" w:hanging="10"/>
        <w:jc w:val="both"/>
        <w:rPr>
          <w:rFonts w:ascii="Times New Roman" w:hAnsi="Times New Roman" w:cs="Times New Roman"/>
          <w:lang w:val="pl-PL"/>
        </w:rPr>
      </w:pPr>
      <w:r w:rsidRPr="0024129B">
        <w:rPr>
          <w:rFonts w:ascii="Times New Roman" w:eastAsia="Times New Roman" w:hAnsi="Times New Roman" w:cs="Times New Roman"/>
          <w:lang w:val="pl-PL"/>
        </w:rPr>
        <w:t xml:space="preserve">Dotyczy Zwyczajnego Walnego Zgromadzenia Banku Handlowego w Warszawie S.A. zwołanego na dzień </w:t>
      </w:r>
      <w:r w:rsidR="005046EB">
        <w:rPr>
          <w:rFonts w:ascii="Times New Roman" w:eastAsia="Times New Roman" w:hAnsi="Times New Roman" w:cs="Times New Roman"/>
          <w:lang w:val="pl-PL"/>
        </w:rPr>
        <w:t>17</w:t>
      </w:r>
      <w:r w:rsidRPr="0024129B">
        <w:rPr>
          <w:rFonts w:ascii="Times New Roman" w:eastAsia="Times New Roman" w:hAnsi="Times New Roman" w:cs="Times New Roman"/>
          <w:lang w:val="pl-PL"/>
        </w:rPr>
        <w:t xml:space="preserve"> czerwca 202</w:t>
      </w:r>
      <w:r w:rsidR="005046EB">
        <w:rPr>
          <w:rFonts w:ascii="Times New Roman" w:eastAsia="Times New Roman" w:hAnsi="Times New Roman" w:cs="Times New Roman"/>
          <w:lang w:val="pl-PL"/>
        </w:rPr>
        <w:t>1</w:t>
      </w:r>
      <w:r w:rsidRPr="0024129B">
        <w:rPr>
          <w:rFonts w:ascii="Times New Roman" w:eastAsia="Times New Roman" w:hAnsi="Times New Roman" w:cs="Times New Roman"/>
          <w:lang w:val="pl-PL"/>
        </w:rPr>
        <w:t xml:space="preserve"> r., godzina 11.00, przy ul. Traugutta 7/9 w Warszawie. </w:t>
      </w:r>
    </w:p>
    <w:p w:rsidR="005046EB" w:rsidRDefault="005046EB" w:rsidP="0024129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b/>
          <w:u w:val="single" w:color="000000"/>
          <w:lang w:val="pl-PL"/>
        </w:rPr>
        <w:t>Projekty uchwał Zwyczajnego Walnego Zgromadzenia w dniu 17 czerwca 2021 r.</w:t>
      </w:r>
      <w:r w:rsidRPr="00070ADB">
        <w:rPr>
          <w:rFonts w:ascii="Times New Roman" w:eastAsia="Times New Roman" w:hAnsi="Times New Roman" w:cs="Times New Roman"/>
          <w:b/>
          <w:lang w:val="pl-PL"/>
        </w:rPr>
        <w:t xml:space="preserve">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4985" w:right="-9" w:hanging="10"/>
        <w:jc w:val="both"/>
        <w:rPr>
          <w:rFonts w:ascii="Times New Roman" w:hAnsi="Times New Roman" w:cs="Times New Roman"/>
          <w:lang w:val="pl-PL"/>
        </w:rPr>
      </w:pPr>
      <w:r w:rsidRPr="00070ADB">
        <w:rPr>
          <w:rFonts w:ascii="Times New Roman" w:eastAsia="Times New Roman" w:hAnsi="Times New Roman" w:cs="Times New Roman"/>
          <w:i/>
          <w:lang w:val="pl-PL"/>
        </w:rPr>
        <w:t xml:space="preserve">Projekt uchwały do pkt 2 porządku obrad Zwyczajnego Walnego Zgromadzenia z dnia 17 czerwca 2021 r.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UCHWAŁA Nr 1/2021</w:t>
      </w:r>
    </w:p>
    <w:p w:rsidR="005046EB" w:rsidRPr="00070ADB" w:rsidRDefault="005046EB" w:rsidP="005046EB">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Zwyczajnego Walnego Zgromadzenia</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z dnia 17 czerwca 2021 r.</w:t>
      </w:r>
    </w:p>
    <w:p w:rsidR="005046EB" w:rsidRPr="00070ADB" w:rsidRDefault="005046EB" w:rsidP="005046EB">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w sprawie wyboru Przewodniczącego Walnego Zgromadzenia</w:t>
      </w:r>
    </w:p>
    <w:p w:rsidR="005046EB" w:rsidRPr="00070ADB" w:rsidRDefault="005046EB" w:rsidP="005046EB">
      <w:pPr>
        <w:spacing w:after="120" w:line="240" w:lineRule="auto"/>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Zwyczajne Walne Zgromadzenie postanawia powołać na Przewodniczącego Zwyczajnego Walnego Zgromadzenia  … </w:t>
      </w:r>
    </w:p>
    <w:p w:rsidR="005046EB" w:rsidRPr="00070ADB" w:rsidRDefault="005046EB" w:rsidP="005046EB">
      <w:pPr>
        <w:spacing w:after="120" w:line="240" w:lineRule="auto"/>
        <w:ind w:left="12"/>
        <w:rPr>
          <w:rFonts w:ascii="Times New Roman" w:eastAsia="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5046EB" w:rsidRPr="0024129B" w:rsidTr="005046EB">
        <w:trPr>
          <w:trHeight w:val="1524"/>
          <w:jc w:val="center"/>
        </w:trPr>
        <w:tc>
          <w:tcPr>
            <w:tcW w:w="2268"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5046EB" w:rsidRPr="0024129B" w:rsidTr="005046EB">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5046EB" w:rsidRPr="0024129B" w:rsidTr="005046EB">
        <w:trPr>
          <w:trHeight w:val="406"/>
          <w:jc w:val="center"/>
        </w:trPr>
        <w:tc>
          <w:tcPr>
            <w:tcW w:w="2268" w:type="dxa"/>
            <w:tcBorders>
              <w:top w:val="single" w:sz="4" w:space="0" w:color="000000"/>
              <w:left w:val="single" w:sz="4" w:space="0" w:color="000000"/>
              <w:bottom w:val="single" w:sz="4" w:space="0" w:color="000000"/>
              <w:right w:val="nil"/>
            </w:tcBorders>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5046EB" w:rsidRPr="0024129B" w:rsidRDefault="005046EB" w:rsidP="005046E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5046EB" w:rsidRPr="0024129B" w:rsidRDefault="005046EB" w:rsidP="005046E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5046EB" w:rsidRPr="0024129B" w:rsidRDefault="005046EB" w:rsidP="005046EB">
            <w:pPr>
              <w:spacing w:after="120"/>
              <w:rPr>
                <w:rFonts w:ascii="Times New Roman" w:hAnsi="Times New Roman" w:cs="Times New Roman"/>
              </w:rPr>
            </w:pPr>
          </w:p>
        </w:tc>
      </w:tr>
    </w:tbl>
    <w:p w:rsidR="005046E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4985" w:right="-9" w:hanging="10"/>
        <w:jc w:val="both"/>
        <w:rPr>
          <w:rFonts w:ascii="Times New Roman" w:hAnsi="Times New Roman" w:cs="Times New Roman"/>
          <w:lang w:val="pl-PL"/>
        </w:rPr>
      </w:pPr>
      <w:r w:rsidRPr="00070ADB">
        <w:rPr>
          <w:rFonts w:ascii="Times New Roman" w:eastAsia="Times New Roman" w:hAnsi="Times New Roman" w:cs="Times New Roman"/>
          <w:i/>
          <w:lang w:val="pl-PL"/>
        </w:rPr>
        <w:t xml:space="preserve">Projekt uchwały do pkt 4 porządku obrad Zwyczajnego Walnego Zgromadzenia z dnia 17 czerwca 2021 r. </w:t>
      </w:r>
    </w:p>
    <w:p w:rsidR="005046EB" w:rsidRPr="00070ADB" w:rsidRDefault="005046EB" w:rsidP="005046EB">
      <w:pPr>
        <w:spacing w:after="120" w:line="240" w:lineRule="auto"/>
        <w:rPr>
          <w:rFonts w:ascii="Times New Roman" w:hAnsi="Times New Roman" w:cs="Times New Roman"/>
          <w:lang w:val="pl-PL"/>
        </w:rPr>
      </w:pPr>
    </w:p>
    <w:p w:rsidR="005046EB" w:rsidRPr="00070ADB" w:rsidRDefault="005046EB" w:rsidP="005046EB">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UCHWAŁA Nr 2/2021</w:t>
      </w:r>
    </w:p>
    <w:p w:rsidR="005046EB" w:rsidRPr="00070ADB" w:rsidRDefault="005046EB" w:rsidP="005046EB">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Zwyczajnego Walnego Zgromadzenia</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z dnia 17 czerwca 2021 r.</w:t>
      </w:r>
    </w:p>
    <w:p w:rsidR="005046EB" w:rsidRPr="00070ADB" w:rsidRDefault="005046EB" w:rsidP="005046EB">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w sprawie przyjęcia porządku obrad</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Zwyczajne Walne Zgromadzenie postanawia przyjąć porządek obrad Zwyczajnego Walnego Zgromadzenia. </w:t>
      </w:r>
    </w:p>
    <w:p w:rsidR="005046EB" w:rsidRDefault="005046EB" w:rsidP="005046EB">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5046EB" w:rsidRPr="0024129B" w:rsidTr="005046EB">
        <w:trPr>
          <w:trHeight w:val="1524"/>
          <w:jc w:val="center"/>
        </w:trPr>
        <w:tc>
          <w:tcPr>
            <w:tcW w:w="2268"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5046EB" w:rsidRPr="0024129B" w:rsidTr="005046EB">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5046EB" w:rsidRPr="0024129B" w:rsidTr="005046EB">
        <w:trPr>
          <w:trHeight w:val="406"/>
          <w:jc w:val="center"/>
        </w:trPr>
        <w:tc>
          <w:tcPr>
            <w:tcW w:w="2268" w:type="dxa"/>
            <w:tcBorders>
              <w:top w:val="single" w:sz="4" w:space="0" w:color="000000"/>
              <w:left w:val="single" w:sz="4" w:space="0" w:color="000000"/>
              <w:bottom w:val="single" w:sz="4" w:space="0" w:color="000000"/>
              <w:right w:val="nil"/>
            </w:tcBorders>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5046EB" w:rsidRPr="0024129B" w:rsidRDefault="005046EB" w:rsidP="005046E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5046EB" w:rsidRPr="0024129B" w:rsidRDefault="005046EB" w:rsidP="005046E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5046EB" w:rsidRPr="0024129B" w:rsidRDefault="005046EB" w:rsidP="005046EB">
            <w:pPr>
              <w:spacing w:after="120"/>
              <w:rPr>
                <w:rFonts w:ascii="Times New Roman" w:hAnsi="Times New Roman" w:cs="Times New Roman"/>
              </w:rPr>
            </w:pPr>
          </w:p>
        </w:tc>
      </w:tr>
    </w:tbl>
    <w:p w:rsidR="005046E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5050" w:right="-11" w:hanging="10"/>
        <w:jc w:val="both"/>
        <w:rPr>
          <w:rFonts w:ascii="Times New Roman" w:hAnsi="Times New Roman" w:cs="Times New Roman"/>
          <w:lang w:val="pl-PL"/>
        </w:rPr>
      </w:pPr>
      <w:r w:rsidRPr="00070ADB">
        <w:rPr>
          <w:rFonts w:ascii="Times New Roman" w:eastAsia="Times New Roman" w:hAnsi="Times New Roman" w:cs="Times New Roman"/>
          <w:i/>
          <w:lang w:val="pl-PL"/>
        </w:rPr>
        <w:t xml:space="preserve">Projekt uchwały do pkt 5 ppkt 1) porządku obrad Zwyczajnego Walnego Zgromadzenia z dnia 17 czerwca 2021 r. </w:t>
      </w:r>
    </w:p>
    <w:p w:rsidR="005046EB" w:rsidRPr="00070ADB" w:rsidRDefault="005046EB" w:rsidP="005046EB">
      <w:pPr>
        <w:spacing w:after="120" w:line="240" w:lineRule="auto"/>
        <w:ind w:left="12"/>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3/2021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rozpatrzenia i zatwierdzenia rocznego jednostkowego sprawozdania finansowego Banku za rok obrotowy kończący się 31 grudnia 2020 r.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Na podstawie art. 395 § 2 pkt 1) Kodeksu spółek handlowych i § 9 ust. 1 pkt 1 Statutu Banku, Zwyczajne Walne Zgromadzenie Banku Handlowego w Warszawie S.A., po rozpatrzeniu rocznego jednostkowego sprawozdania finansowego Banku Handlowego w Warszawie S.A. za rok obrotowy kończący się </w:t>
      </w:r>
      <w:r>
        <w:rPr>
          <w:rFonts w:ascii="Times New Roman" w:eastAsia="Times New Roman" w:hAnsi="Times New Roman" w:cs="Times New Roman"/>
          <w:lang w:val="pl-PL"/>
        </w:rPr>
        <w:br/>
      </w:r>
      <w:r w:rsidRPr="00070ADB">
        <w:rPr>
          <w:rFonts w:ascii="Times New Roman" w:eastAsia="Times New Roman" w:hAnsi="Times New Roman" w:cs="Times New Roman"/>
          <w:lang w:val="pl-PL"/>
        </w:rPr>
        <w:t>31 grudnia 2020 r. postanawia zatwierdzić roczne jednostkowe sprawozdanie finansowe Banku Handlowego w Warszawie S.A. za rok obrotowy kończący się 31 grudnia 2020 roku, w skład którego wchodzą:</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sprawozdanie z sytuacji finansowej sporządzone na dzień 31 grudnia 2020 roku wykazujące po stronie aktywów i pasywów sumę 60 632 397 tys. zł (słownie: sześćdziesiąt miliardów sześćset trzydzieści dwa miliony trzysta dziewięćdziesiąt siedem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rachunek zysków i strat za 2020 rok wykazujący zysk netto w wysokości </w:t>
      </w:r>
      <w:r w:rsidRPr="00070ADB">
        <w:rPr>
          <w:rFonts w:ascii="Times New Roman" w:eastAsia="Times New Roman" w:hAnsi="Times New Roman" w:cs="Times New Roman"/>
          <w:lang w:val="pl-PL"/>
        </w:rPr>
        <w:br/>
        <w:t>158 085 tys. zł (słownie: sto pięćdziesiąt osiem milionów osiemdziesiąt pięć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sprawozdanie z całkowitych dochodów za 2020 rok wykazujące całkowite dochody ogółem w wysokości 491 502 </w:t>
      </w:r>
      <w:r>
        <w:rPr>
          <w:rFonts w:ascii="Times New Roman" w:eastAsia="Times New Roman" w:hAnsi="Times New Roman" w:cs="Times New Roman"/>
          <w:lang w:val="pl-PL"/>
        </w:rPr>
        <w:t xml:space="preserve">tys. </w:t>
      </w:r>
      <w:r w:rsidRPr="00070ADB">
        <w:rPr>
          <w:rFonts w:ascii="Times New Roman" w:eastAsia="Times New Roman" w:hAnsi="Times New Roman" w:cs="Times New Roman"/>
          <w:lang w:val="pl-PL"/>
        </w:rPr>
        <w:t>zł (słownie: czterysta dziewięćdziesiąt jeden milionów pięćset dwa tysiące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sprawozdanie ze zmian w kapitale własnym za 2020 rok wykazujące stan kapitału własnego w wysokości 7 515 205 </w:t>
      </w:r>
      <w:r>
        <w:rPr>
          <w:rFonts w:ascii="Times New Roman" w:eastAsia="Times New Roman" w:hAnsi="Times New Roman" w:cs="Times New Roman"/>
          <w:lang w:val="pl-PL"/>
        </w:rPr>
        <w:t xml:space="preserve">tys. </w:t>
      </w:r>
      <w:r w:rsidRPr="00070ADB">
        <w:rPr>
          <w:rFonts w:ascii="Times New Roman" w:eastAsia="Times New Roman" w:hAnsi="Times New Roman" w:cs="Times New Roman"/>
          <w:lang w:val="pl-PL"/>
        </w:rPr>
        <w:t>zł (słownie: siedem miliardów pięćset piętnaście milionów dwieście pięć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sprawozdanie z przepływów pieniężnych za 2020 rok wykazujące stan środków pieniężnych netto w wysokości 4 519 581 tys. zł (słownie: cztery miliardy pięćset dziewiętnaście milionów pięćset osiemdziesiąt jeden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dodatkowe informacje i objaśnienia wraz z sprawozdaniem niezależnego biegłego rewidenta z badania tego sprawozdania finansowego.</w:t>
      </w:r>
    </w:p>
    <w:p w:rsidR="005046EB" w:rsidRPr="005046EB" w:rsidRDefault="005046EB" w:rsidP="005046EB">
      <w:pPr>
        <w:pStyle w:val="AOAltHead1"/>
        <w:numPr>
          <w:ilvl w:val="0"/>
          <w:numId w:val="0"/>
        </w:numPr>
        <w:spacing w:after="120" w:line="240" w:lineRule="auto"/>
        <w:ind w:left="300"/>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5046EB" w:rsidRPr="0024129B" w:rsidTr="005046EB">
        <w:trPr>
          <w:trHeight w:val="1524"/>
          <w:jc w:val="center"/>
        </w:trPr>
        <w:tc>
          <w:tcPr>
            <w:tcW w:w="2268"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5046EB" w:rsidRPr="0024129B" w:rsidRDefault="005046EB" w:rsidP="005046EB">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5046EB" w:rsidRPr="0024129B" w:rsidTr="005046EB">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5046EB" w:rsidRPr="0024129B" w:rsidTr="005046EB">
        <w:trPr>
          <w:trHeight w:val="406"/>
          <w:jc w:val="center"/>
        </w:trPr>
        <w:tc>
          <w:tcPr>
            <w:tcW w:w="2268" w:type="dxa"/>
            <w:tcBorders>
              <w:top w:val="single" w:sz="4" w:space="0" w:color="000000"/>
              <w:left w:val="single" w:sz="4" w:space="0" w:color="000000"/>
              <w:bottom w:val="single" w:sz="4" w:space="0" w:color="000000"/>
              <w:right w:val="nil"/>
            </w:tcBorders>
          </w:tcPr>
          <w:p w:rsidR="005046EB" w:rsidRPr="0024129B" w:rsidRDefault="005046EB" w:rsidP="005046EB">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5046EB" w:rsidRPr="0024129B" w:rsidRDefault="005046EB" w:rsidP="005046E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5046EB" w:rsidRPr="0024129B" w:rsidRDefault="005046EB" w:rsidP="005046E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5046EB" w:rsidRPr="0024129B" w:rsidRDefault="005046EB" w:rsidP="005046EB">
            <w:pPr>
              <w:spacing w:after="120"/>
              <w:rPr>
                <w:rFonts w:ascii="Times New Roman" w:hAnsi="Times New Roman" w:cs="Times New Roman"/>
              </w:rPr>
            </w:pPr>
          </w:p>
        </w:tc>
      </w:tr>
    </w:tbl>
    <w:p w:rsidR="005046EB" w:rsidRDefault="005046EB" w:rsidP="005046EB">
      <w:pPr>
        <w:pStyle w:val="AOAltHead1"/>
        <w:numPr>
          <w:ilvl w:val="0"/>
          <w:numId w:val="0"/>
        </w:numPr>
        <w:spacing w:after="120" w:line="240" w:lineRule="auto"/>
        <w:ind w:left="300"/>
      </w:pPr>
    </w:p>
    <w:p w:rsidR="00DE4AF7" w:rsidRPr="00DE4AF7" w:rsidRDefault="00DE4AF7" w:rsidP="00DE4AF7">
      <w:pPr>
        <w:rPr>
          <w:lang w:val="pl-PL"/>
        </w:rPr>
      </w:pPr>
    </w:p>
    <w:p w:rsidR="005046EB" w:rsidRPr="00070ADB" w:rsidRDefault="005046EB" w:rsidP="005046EB">
      <w:pPr>
        <w:spacing w:after="120" w:line="240" w:lineRule="auto"/>
        <w:ind w:left="5050" w:right="-11" w:hanging="10"/>
        <w:jc w:val="both"/>
        <w:rPr>
          <w:rFonts w:ascii="Times New Roman" w:hAnsi="Times New Roman" w:cs="Times New Roman"/>
          <w:lang w:val="pl-PL"/>
        </w:rPr>
      </w:pPr>
      <w:r w:rsidRPr="00070ADB">
        <w:rPr>
          <w:rFonts w:ascii="Times New Roman" w:eastAsia="Times New Roman" w:hAnsi="Times New Roman" w:cs="Times New Roman"/>
          <w:i/>
          <w:lang w:val="pl-PL"/>
        </w:rPr>
        <w:t xml:space="preserve">Projekt uchwały do pkt 5 ppkt 2) porządku obrad Zwyczajnego Walnego Zgromadzenia z dnia 17 czerwca 2021 r. </w:t>
      </w:r>
    </w:p>
    <w:p w:rsidR="005046EB" w:rsidRPr="00070ADB" w:rsidRDefault="005046EB" w:rsidP="005046EB">
      <w:pPr>
        <w:spacing w:after="120" w:line="240" w:lineRule="auto"/>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4/2021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070AD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rozpatrzenia i zatwierdzenia rocznego skonsolidowanego sprawozdania finansowego Grupy Kapitałowej Banku za rok obrotowy kończący się 31 grudnia 2020 roku </w:t>
      </w:r>
    </w:p>
    <w:p w:rsidR="005046EB" w:rsidRPr="00070ADB" w:rsidRDefault="005046EB" w:rsidP="005046EB">
      <w:pPr>
        <w:spacing w:after="120" w:line="240" w:lineRule="auto"/>
        <w:ind w:left="22" w:hanging="10"/>
        <w:jc w:val="both"/>
        <w:rPr>
          <w:rFonts w:ascii="Times New Roman" w:eastAsia="Times New Roman" w:hAnsi="Times New Roman" w:cs="Times New Roman"/>
          <w:b/>
          <w:lang w:val="pl-PL"/>
        </w:rPr>
      </w:pPr>
    </w:p>
    <w:p w:rsidR="005046EB" w:rsidRPr="00070ADB" w:rsidRDefault="005046EB" w:rsidP="005046EB">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Na podstawie art. 395 § 5 Kodeksu spółek handlowych w związku z art. 55 ust. 5 i 53 ust. 1 ustawy z dnia 29 września 1994 r. o rachunkowości, Zwyczajne Walne Zgromadzenie Banku Handlowego w Warszawie S.A., po rozpatrzeniu rocznego skonsolidowanego sprawozdania finansowego Grupy Kapitałowej Banku Handlowego w Warszawie S.A. za rok obrotowy kończący się 31 grudnia 2020 roku postanawia </w:t>
      </w:r>
      <w:r w:rsidRPr="00070ADB">
        <w:rPr>
          <w:rFonts w:ascii="Times New Roman" w:eastAsia="Times New Roman" w:hAnsi="Times New Roman" w:cs="Times New Roman"/>
          <w:bCs/>
          <w:lang w:val="pl-PL"/>
        </w:rPr>
        <w:t>zatwierdzić</w:t>
      </w:r>
      <w:r w:rsidRPr="00070ADB">
        <w:rPr>
          <w:rFonts w:ascii="Times New Roman" w:eastAsia="Times New Roman" w:hAnsi="Times New Roman" w:cs="Times New Roman"/>
          <w:lang w:val="pl-PL"/>
        </w:rPr>
        <w:t xml:space="preserve"> roczne skonsolidowane sprawozdanie finansowe Grupy Kapitałowej Banku Handlowego w Warszawie S.A. za rok obrotowy kończący się 31 grudnia 2020 roku, w skład którego wchodzą:</w:t>
      </w:r>
    </w:p>
    <w:p w:rsidR="005046EB" w:rsidRPr="00B64806" w:rsidRDefault="005046EB" w:rsidP="00223F2E">
      <w:pPr>
        <w:pStyle w:val="AOAltHead1"/>
        <w:numPr>
          <w:ilvl w:val="0"/>
          <w:numId w:val="4"/>
        </w:numPr>
        <w:spacing w:after="120" w:line="240" w:lineRule="auto"/>
        <w:rPr>
          <w:rFonts w:eastAsia="Times New Roman"/>
        </w:rPr>
      </w:pPr>
      <w:r w:rsidRPr="00B64806">
        <w:rPr>
          <w:rFonts w:eastAsia="Times New Roman"/>
        </w:rPr>
        <w:t>skonsolidowane sprawozdanie z sytuacji finansowej sporządzone na dzień 31 grudnia 2020 roku wykazujące po stronie aktywów i pasywów sumę 60 941 538 tys. zł (słownie: sześćdziesiąt miliardów dziewięćset czterdzieści jeden milionów pięćset trzydzieści osiem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skonsolidowany</w:t>
      </w:r>
      <w:r w:rsidRPr="00B64806">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rachunek zysków i strat za 2020 rok wykazujący zysk netto w wysokości 172 395 tys. zł (słownie: sto siedemdziesiąt dwa miliony trzysta dziewięćdziesiąt pięć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skonsolidowane sprawozdanie z całkowitych dochodów za 2020 rok wykazujące całkowite dochody ogółem w wysokości 506 312 tys. zł (słownie: pięćset sześć milionów trzysta dwanaście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skonsolidowane sprawozdanie ze zmian w kapitale własnym za 2020 rok wykazujące stan kapitału własnego w wysokości 7 580 967 tys. zł (słownie: siedem miliardów pięćset osiemdziesiąt milionów dziewięćset sześćdziesiąt siedem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skonsolidowane sprawozdanie z przepływów pieniężnych za 2020 rok wykazujące stan środków pieniężnych netto w wysokości 4 519 640 zł (słownie: cztery miliardy pięćset dziewiętnaście milionów sześćset czterdzieści tysięcy złotych),</w:t>
      </w:r>
    </w:p>
    <w:p w:rsidR="005046EB" w:rsidRPr="00070ADB" w:rsidRDefault="005046EB" w:rsidP="00223F2E">
      <w:pPr>
        <w:numPr>
          <w:ilvl w:val="0"/>
          <w:numId w:val="3"/>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dodatkowe informacje i objaśnienia wraz ze sprawozdaniem niezależnego biegłego rewidenta z badania tego sprawozdania finansowego.</w:t>
      </w:r>
    </w:p>
    <w:p w:rsidR="00223F2E" w:rsidRDefault="005046EB" w:rsidP="00223F2E">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lastRenderedPageBreak/>
        <w:t xml:space="preserve"> </w:t>
      </w: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5050" w:right="-11" w:hanging="10"/>
        <w:jc w:val="both"/>
        <w:rPr>
          <w:rFonts w:ascii="Times New Roman" w:hAnsi="Times New Roman" w:cs="Times New Roman"/>
          <w:lang w:val="pl-PL"/>
        </w:rPr>
      </w:pPr>
      <w:r w:rsidRPr="00070ADB">
        <w:rPr>
          <w:rFonts w:ascii="Times New Roman" w:eastAsia="Times New Roman" w:hAnsi="Times New Roman" w:cs="Times New Roman"/>
          <w:i/>
          <w:lang w:val="pl-PL"/>
        </w:rPr>
        <w:t xml:space="preserve">Projekt uchwały do pkt 5 ppkt 3) porządku obrad Zwyczajnego Walnego Zgromadzenia z dnia 17 czerwca 2021 r. </w:t>
      </w: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5/2021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sprawozdania z działalności Banku oraz Grupy Kapitałowej Banku</w:t>
      </w:r>
      <w:r w:rsidRPr="00006456">
        <w:rPr>
          <w:rFonts w:ascii="Times New Roman" w:eastAsia="Times New Roman" w:hAnsi="Times New Roman" w:cs="Times New Roman"/>
          <w:b/>
          <w:lang w:val="pl-PL"/>
        </w:rPr>
        <w:t xml:space="preserve"> </w:t>
      </w: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Na podstawie art. 395 § 2 pkt 1) oraz § 5 Kodeksu spółek handlowych i § 9 ust. 1 pkt. 1 Statutu Banku, Zwyczajne Walne Zgromadzenie Banku Handlowego w Warszawie S.A., po rozpatrzeniu postanawia, zatwierdzić Sprawozdanie z działalności Grupy Kapitałowej Banku Handlowego w Warszawie S.A. w 2020 roku sporządzone łącznie ze sprawozdaniem z działalności Banku Handlowego w Warszawie S.A. i wraz ze Sprawozdaniem na temat informacji niefinansowych Banku Handlowego w Warszawie S.A. oraz Grupy Kapitałowej Banku Handlowego w Warszawie S.A. za rok obrotowy kończący się 31 grudnia 2020 roku.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Default="00223F2E" w:rsidP="00223F2E">
      <w:pPr>
        <w:spacing w:after="120" w:line="240" w:lineRule="auto"/>
        <w:ind w:left="12"/>
        <w:rPr>
          <w:rFonts w:ascii="Times New Roman" w:hAnsi="Times New Roman" w:cs="Times New Roman"/>
          <w:lang w:val="pl-PL"/>
        </w:rPr>
      </w:pPr>
    </w:p>
    <w:p w:rsidR="005046EB" w:rsidRDefault="005046EB" w:rsidP="00223F2E">
      <w:pPr>
        <w:spacing w:after="120" w:line="240" w:lineRule="auto"/>
        <w:rPr>
          <w:rFonts w:ascii="Times New Roman" w:eastAsia="Times New Roman" w:hAnsi="Times New Roman" w:cs="Times New Roman"/>
          <w:i/>
          <w:lang w:val="pl-PL"/>
        </w:rPr>
      </w:pPr>
    </w:p>
    <w:p w:rsidR="005046EB" w:rsidRPr="00070ADB" w:rsidRDefault="005046EB" w:rsidP="005046EB">
      <w:pPr>
        <w:spacing w:after="120" w:line="240" w:lineRule="auto"/>
        <w:ind w:left="5050" w:right="-11" w:hanging="10"/>
        <w:jc w:val="both"/>
        <w:rPr>
          <w:rFonts w:ascii="Times New Roman" w:hAnsi="Times New Roman" w:cs="Times New Roman"/>
          <w:lang w:val="pl-PL"/>
        </w:rPr>
      </w:pPr>
      <w:r w:rsidRPr="00070ADB">
        <w:rPr>
          <w:rFonts w:ascii="Times New Roman" w:eastAsia="Times New Roman" w:hAnsi="Times New Roman" w:cs="Times New Roman"/>
          <w:i/>
          <w:lang w:val="pl-PL"/>
        </w:rPr>
        <w:lastRenderedPageBreak/>
        <w:t xml:space="preserve">Projekty uchwał do pkt 5 ppkt 4) porządku obrad Zwyczajnego Walnego Zgromadzenia z dnia 17 czerwca 2021 r. </w:t>
      </w: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6/2021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rsidR="005046EB" w:rsidRPr="00006456"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 Zwyczajne Walne Zgromadzenie udziela Prezesowi Zarządu Banku Handlowego w Warszawie S.A. Panu Sławomirowi Stefanowi Sikorze 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Default="00223F2E" w:rsidP="00223F2E">
      <w:pPr>
        <w:spacing w:after="120" w:line="240" w:lineRule="auto"/>
        <w:ind w:left="12"/>
        <w:rPr>
          <w:rFonts w:ascii="Times New Roman" w:hAnsi="Times New Roman" w:cs="Times New Roman"/>
          <w:lang w:val="pl-PL"/>
        </w:rPr>
      </w:pPr>
    </w:p>
    <w:p w:rsidR="005046EB" w:rsidRPr="00070ADB" w:rsidRDefault="005046EB" w:rsidP="00223F2E">
      <w:pPr>
        <w:spacing w:after="120" w:line="240" w:lineRule="auto"/>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7/2021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 Zwyczajne Walne Zgromadzenie udziela Wiceprezesowi Zarządu Banku Handlowego w Warszawie S.A. Pani Natalii Bożek</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lastRenderedPageBreak/>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right="2200"/>
        <w:rPr>
          <w:rFonts w:ascii="Times New Roman" w:eastAsia="Times New Roman" w:hAnsi="Times New Roman" w:cs="Times New Roman"/>
          <w:b/>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8/2021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Na podstawie art. 395 § 2 pkt 3) Kodeksu spółek handlowych i § 9 ust. 1 pkt 3 Statutu Banku Zwyczajne Walne Zgromadzenie udziela Wiceprezesowi Zarządu Banku Handlowego w Warszawie S.A. Panu </w:t>
      </w:r>
      <w:r w:rsidRPr="00070ADB">
        <w:rPr>
          <w:rFonts w:ascii="Times New Roman" w:eastAsia="Times New Roman" w:hAnsi="Times New Roman" w:cs="Times New Roman"/>
          <w:color w:val="202020"/>
          <w:lang w:val="pl-PL"/>
        </w:rPr>
        <w:t xml:space="preserve">Dennisowi Hussey </w:t>
      </w:r>
      <w:r w:rsidRPr="00070ADB">
        <w:rPr>
          <w:rFonts w:ascii="Times New Roman" w:eastAsia="Times New Roman" w:hAnsi="Times New Roman" w:cs="Times New Roman"/>
          <w:lang w:val="pl-PL"/>
        </w:rPr>
        <w:t>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9/2021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06456">
        <w:rPr>
          <w:rFonts w:ascii="Times New Roman" w:eastAsia="Times New Roman" w:hAnsi="Times New Roman" w:cs="Times New Roman"/>
          <w:b/>
          <w:lang w:val="pl-PL"/>
        </w:rPr>
        <w:t xml:space="preserve">w </w:t>
      </w:r>
      <w:r w:rsidRPr="00570195">
        <w:rPr>
          <w:rFonts w:ascii="Times New Roman" w:eastAsia="Times New Roman" w:hAnsi="Times New Roman" w:cs="Times New Roman"/>
          <w:b/>
          <w:spacing w:val="-4"/>
          <w:lang w:val="pl-PL"/>
        </w:rPr>
        <w:t>sprawie udzielenia członkowi Zarządu Banku absolutorium z wykonania obowiązków w 2020 r.</w:t>
      </w:r>
      <w:r w:rsidRPr="00006456">
        <w:rPr>
          <w:rFonts w:ascii="Times New Roman" w:eastAsia="Times New Roman" w:hAnsi="Times New Roman" w:cs="Times New Roman"/>
          <w:b/>
          <w:lang w:val="pl-PL"/>
        </w:rPr>
        <w:t xml:space="preserve">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Na podstawie art. 395 § 2 pkt 3) Kodeksu spółek handlowych i § 9 ust. 1 pkt 3 Statutu Banku Zwyczajne Walne Zgromadzenie udziela Wiceprezesowi Zarządu Banku Handlowego w Warszawie S.A. Panu </w:t>
      </w:r>
      <w:r w:rsidRPr="00070ADB">
        <w:rPr>
          <w:rFonts w:ascii="Times New Roman" w:eastAsia="Times New Roman" w:hAnsi="Times New Roman" w:cs="Times New Roman"/>
          <w:color w:val="202020"/>
          <w:lang w:val="pl-PL"/>
        </w:rPr>
        <w:t xml:space="preserve">Maciejowi Kropidłowskiemu </w:t>
      </w:r>
      <w:r w:rsidRPr="00070ADB">
        <w:rPr>
          <w:rFonts w:ascii="Times New Roman" w:eastAsia="Times New Roman" w:hAnsi="Times New Roman" w:cs="Times New Roman"/>
          <w:lang w:val="pl-PL"/>
        </w:rPr>
        <w:t>absolutorium z wykonania obowiązków w 2020 r.</w:t>
      </w:r>
      <w:r w:rsidRPr="00070ADB">
        <w:rPr>
          <w:rFonts w:ascii="Times New Roman" w:eastAsia="Times New Roman" w:hAnsi="Times New Roman" w:cs="Times New Roman"/>
          <w:b/>
          <w:lang w:val="pl-PL"/>
        </w:rPr>
        <w:t xml:space="preserve"> </w:t>
      </w:r>
      <w:r w:rsidRPr="00070ADB">
        <w:rPr>
          <w:rFonts w:ascii="Times New Roman" w:eastAsia="Times New Roman" w:hAnsi="Times New Roman" w:cs="Times New Roman"/>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lastRenderedPageBreak/>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lastRenderedPageBreak/>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10/2021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 Zwyczajne Walne Zgromadzenie udziela Wiceprezesowi Zarządu Banku Handlowego w Warszawie S.A. Pani Barbarze Sobali</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eastAsia="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11/2021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 Zwyczajne Walne Zgromadzenie udziela Członkowi Zarządu Banku Handlowego w Warszawie S.A. Panu James Foley 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lastRenderedPageBreak/>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12/2021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 Zwyczajne Walne Zgromadzenie udziela Członkowi Zarządu Banku Handlowego w Warszawie S.A. Pani Katarzynie Majewskiej 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13/2021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570195" w:rsidRDefault="005046EB" w:rsidP="005046EB">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 xml:space="preserve">w sprawie udzielenia członkowi Zarządu Banku absolutorium z wykonania obowiązków w 2020 r. </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Na podstawie art. 395 § 2 pkt 3) Kodeksu spółek handlowych i § 9 ust. 1 pkt 3 Statutu Banku Zwyczajne Walne Zgromadzenie udziela Wiceprezesowi Zarządu Banku Handlowego w Warszawie S.A. Panu </w:t>
      </w:r>
      <w:r w:rsidRPr="00070ADB">
        <w:rPr>
          <w:rFonts w:ascii="Times New Roman" w:eastAsia="Times New Roman" w:hAnsi="Times New Roman" w:cs="Times New Roman"/>
          <w:color w:val="202020"/>
          <w:lang w:val="pl-PL"/>
        </w:rPr>
        <w:t xml:space="preserve">David </w:t>
      </w:r>
      <w:r w:rsidRPr="00070ADB">
        <w:rPr>
          <w:rFonts w:ascii="Times New Roman" w:eastAsia="Times New Roman" w:hAnsi="Times New Roman" w:cs="Times New Roman"/>
          <w:lang w:val="pl-PL"/>
        </w:rPr>
        <w:t>Mouillé</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2020 r.</w:t>
      </w:r>
      <w:r w:rsidRPr="00070ADB">
        <w:rPr>
          <w:rFonts w:ascii="Times New Roman" w:eastAsia="Times New Roman" w:hAnsi="Times New Roman" w:cs="Times New Roman"/>
          <w:b/>
          <w:lang w:val="pl-PL"/>
        </w:rPr>
        <w:t xml:space="preserve">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5050" w:right="-11" w:hanging="10"/>
        <w:jc w:val="both"/>
        <w:rPr>
          <w:rFonts w:ascii="Times New Roman" w:hAnsi="Times New Roman" w:cs="Times New Roman"/>
          <w:lang w:val="pl-PL"/>
        </w:rPr>
      </w:pPr>
      <w:r w:rsidRPr="00070ADB">
        <w:rPr>
          <w:rFonts w:ascii="Times New Roman" w:eastAsia="Times New Roman" w:hAnsi="Times New Roman" w:cs="Times New Roman"/>
          <w:i/>
          <w:lang w:val="pl-PL"/>
        </w:rPr>
        <w:t xml:space="preserve">Projekt uchwały do pkt 5 ppkt 5) porządku obrad Zwyczajnego Walnego Zgromadzenia z dnia 17 czerwca 2021 r. </w:t>
      </w:r>
    </w:p>
    <w:p w:rsidR="005046EB" w:rsidRPr="00070ADB" w:rsidRDefault="005046EB" w:rsidP="005046EB">
      <w:pPr>
        <w:spacing w:after="120" w:line="240" w:lineRule="auto"/>
        <w:rPr>
          <w:rFonts w:ascii="Times New Roman" w:hAnsi="Times New Roman" w:cs="Times New Roman"/>
          <w:lang w:val="pl-PL"/>
        </w:rPr>
      </w:pP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14/2021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rsidR="005046EB"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17 czerwca 2021 r. </w:t>
      </w:r>
    </w:p>
    <w:p w:rsidR="005046EB" w:rsidRPr="00006456" w:rsidRDefault="005046EB" w:rsidP="005046EB">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sprawozdania Rady Nadzorczej Banku z działalności za okres od dnia odbycia Zwyczajnego Walnego Zgromadzenia Banku w 2020 r. do dnia odbycia Zwyczajnego Walnego Zgromadzenia Banku w 2021 r. zawierającego: ocenę sprawozdań z działalności i sprawozdań finansowych Banku i Grupy Kapitałowej w 2020 roku, ocenę wniosku Zarządu Banku w sprawie podziału zysku netto za rok 2020, sprawozdania i oceny określonej w przyjętych do stosowania przez Bank Zasadach Ładu Korporacyjnego dla Instytucji Nadzorowanych i Dobrych Praktykach Spółek Notowanych na GPW 2016 r., ocenę funkcjonowania polityki wynagradzania w Banku oraz sprawozdania o wynagrodzeniach członków Zarządu i członków Rady Nadzorczej Banku Handlowego w Warszawie S.A. za lata 2019-2020</w:t>
      </w:r>
    </w:p>
    <w:p w:rsidR="005046EB" w:rsidRPr="00070ADB" w:rsidRDefault="005046EB" w:rsidP="005046EB">
      <w:pPr>
        <w:spacing w:after="120" w:line="240" w:lineRule="auto"/>
        <w:ind w:left="12"/>
        <w:rPr>
          <w:rFonts w:ascii="Times New Roman" w:hAnsi="Times New Roman" w:cs="Times New Roman"/>
          <w:lang w:val="pl-PL"/>
        </w:rPr>
      </w:pPr>
    </w:p>
    <w:p w:rsidR="005046EB" w:rsidRPr="00070ADB" w:rsidRDefault="005046EB" w:rsidP="005046EB">
      <w:pPr>
        <w:spacing w:after="120" w:line="240" w:lineRule="auto"/>
        <w:ind w:left="22" w:hanging="10"/>
        <w:jc w:val="both"/>
        <w:rPr>
          <w:rFonts w:ascii="Times New Roman" w:hAnsi="Times New Roman" w:cs="Times New Roman"/>
        </w:rPr>
      </w:pPr>
      <w:r w:rsidRPr="00070ADB">
        <w:rPr>
          <w:rFonts w:ascii="Times New Roman" w:eastAsia="Times New Roman" w:hAnsi="Times New Roman" w:cs="Times New Roman"/>
        </w:rPr>
        <w:t xml:space="preserve">Zwyczajne Walne Zgromadzenie: </w:t>
      </w:r>
    </w:p>
    <w:p w:rsidR="005046EB" w:rsidRPr="00070ADB" w:rsidRDefault="005046EB" w:rsidP="00223F2E">
      <w:pPr>
        <w:numPr>
          <w:ilvl w:val="0"/>
          <w:numId w:val="2"/>
        </w:numPr>
        <w:spacing w:after="120" w:line="240" w:lineRule="auto"/>
        <w:ind w:hanging="425"/>
        <w:jc w:val="both"/>
        <w:rPr>
          <w:rFonts w:ascii="Times New Roman" w:hAnsi="Times New Roman" w:cs="Times New Roman"/>
          <w:lang w:val="pl-PL"/>
        </w:rPr>
      </w:pPr>
      <w:r w:rsidRPr="00070ADB">
        <w:rPr>
          <w:rFonts w:ascii="Times New Roman" w:eastAsia="Times New Roman" w:hAnsi="Times New Roman" w:cs="Times New Roman"/>
          <w:lang w:val="pl-PL"/>
        </w:rPr>
        <w:t>zatwierdza sprawozdanie Rady Nadzorczej Banku Handlowego w Warszawie S.A. z działalności Rady Nadzorczej za okres od dnia odbycia Zwyczajnego Walnego Zgromadzenia Banku w 2020 r. do dnia odbycia Zwyczajnego Walnego Zgromadzenia Banku w 2021 r. zawierające: ocenę sprawozdań z działalności i sprawozdań finansowych Banku i Grupy Kapitałowej w 2020 roku, ocenę wniosku Zarządu Banku w sprawie podziału zysku netto za rok 2020, sprawozdania i oceny określone w przyjętych do stosowania przez Bank Zasadach Ładu Korporacyjnego dla Instytucji Nadzorowanych i Dobrych Praktykach Spółek Notowanych na GPW 2016 r., ocenę funkcjonowania polityki wynagradzania w Banku oraz sprawozdanie o wynagrodzeniach członków Zarządu i członków Rady Nadzorczej Banku Handlowego w Warszawie S.A. za lata 2019-2020,</w:t>
      </w:r>
    </w:p>
    <w:p w:rsidR="005046EB" w:rsidRPr="005046EB" w:rsidRDefault="005046EB" w:rsidP="00223F2E">
      <w:pPr>
        <w:numPr>
          <w:ilvl w:val="0"/>
          <w:numId w:val="2"/>
        </w:numPr>
        <w:spacing w:after="120" w:line="240" w:lineRule="auto"/>
        <w:ind w:hanging="425"/>
        <w:jc w:val="both"/>
        <w:rPr>
          <w:rFonts w:ascii="Times New Roman" w:hAnsi="Times New Roman" w:cs="Times New Roman"/>
          <w:lang w:val="pl-PL"/>
        </w:rPr>
      </w:pPr>
      <w:r w:rsidRPr="00070ADB">
        <w:rPr>
          <w:rFonts w:ascii="Times New Roman" w:eastAsia="Times New Roman" w:hAnsi="Times New Roman" w:cs="Times New Roman"/>
          <w:lang w:val="pl-PL"/>
        </w:rPr>
        <w:t xml:space="preserve">w oparciu o ocenę zamieszczoną w sprawozdaniu Rady Nadzorczej stwierdza, iż stosowana w Banku polityka wynagradzania sprzyja rozwojowi oraz </w:t>
      </w:r>
      <w:r>
        <w:rPr>
          <w:rFonts w:ascii="Times New Roman" w:eastAsia="Times New Roman" w:hAnsi="Times New Roman" w:cs="Times New Roman"/>
          <w:lang w:val="pl-PL"/>
        </w:rPr>
        <w:t>bezpieczeństwu działania Banku.</w:t>
      </w:r>
    </w:p>
    <w:p w:rsidR="00A417F6" w:rsidRDefault="00A417F6">
      <w:pPr>
        <w:rPr>
          <w:rFonts w:ascii="Times New Roman" w:eastAsia="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A417F6" w:rsidRPr="0024129B" w:rsidTr="007207ED">
        <w:trPr>
          <w:trHeight w:val="1524"/>
          <w:jc w:val="center"/>
        </w:trPr>
        <w:tc>
          <w:tcPr>
            <w:tcW w:w="2268" w:type="dxa"/>
            <w:tcBorders>
              <w:top w:val="single" w:sz="4" w:space="0" w:color="000000"/>
              <w:left w:val="single" w:sz="4" w:space="0" w:color="000000"/>
              <w:bottom w:val="nil"/>
              <w:right w:val="single" w:sz="4" w:space="0" w:color="000000"/>
            </w:tcBorders>
          </w:tcPr>
          <w:p w:rsidR="00A417F6" w:rsidRPr="0024129B" w:rsidRDefault="00A417F6" w:rsidP="007207ED">
            <w:pPr>
              <w:spacing w:after="120"/>
              <w:jc w:val="center"/>
              <w:rPr>
                <w:rFonts w:ascii="Times New Roman" w:hAnsi="Times New Roman" w:cs="Times New Roman"/>
              </w:rPr>
            </w:pPr>
            <w:r>
              <w:rPr>
                <w:rFonts w:ascii="Times New Roman" w:eastAsia="Times New Roman" w:hAnsi="Times New Roman" w:cs="Times New Roman"/>
                <w:b/>
              </w:rPr>
              <w:lastRenderedPageBreak/>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A417F6" w:rsidRPr="0024129B" w:rsidRDefault="00A417F6" w:rsidP="007207ED">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A417F6" w:rsidRPr="0024129B" w:rsidRDefault="00A417F6" w:rsidP="007207ED">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A417F6" w:rsidRPr="0024129B" w:rsidRDefault="00A417F6" w:rsidP="007207ED">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A417F6" w:rsidRPr="0024129B" w:rsidRDefault="00A417F6" w:rsidP="007207ED">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A417F6" w:rsidRPr="0024129B" w:rsidTr="007207ED">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A417F6" w:rsidRPr="0024129B" w:rsidTr="007207ED">
        <w:trPr>
          <w:trHeight w:val="406"/>
          <w:jc w:val="center"/>
        </w:trPr>
        <w:tc>
          <w:tcPr>
            <w:tcW w:w="2268" w:type="dxa"/>
            <w:tcBorders>
              <w:top w:val="single" w:sz="4" w:space="0" w:color="000000"/>
              <w:left w:val="single" w:sz="4" w:space="0" w:color="000000"/>
              <w:bottom w:val="single" w:sz="4" w:space="0" w:color="000000"/>
              <w:right w:val="nil"/>
            </w:tcBorders>
          </w:tcPr>
          <w:p w:rsidR="00A417F6" w:rsidRPr="0024129B" w:rsidRDefault="00A417F6" w:rsidP="007207ED">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A417F6" w:rsidRPr="0024129B" w:rsidRDefault="00A417F6" w:rsidP="007207ED">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A417F6" w:rsidRPr="0024129B" w:rsidRDefault="00A417F6" w:rsidP="007207ED">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A417F6" w:rsidRPr="0024129B" w:rsidRDefault="00A417F6" w:rsidP="007207ED">
            <w:pPr>
              <w:spacing w:after="120"/>
              <w:rPr>
                <w:rFonts w:ascii="Times New Roman" w:hAnsi="Times New Roman" w:cs="Times New Roman"/>
              </w:rPr>
            </w:pPr>
          </w:p>
        </w:tc>
      </w:tr>
    </w:tbl>
    <w:p w:rsidR="00A417F6" w:rsidRDefault="00A417F6">
      <w:pPr>
        <w:rPr>
          <w:rFonts w:ascii="Times New Roman" w:eastAsia="Times New Roman" w:hAnsi="Times New Roman" w:cs="Times New Roman"/>
          <w:lang w:val="pl-PL"/>
        </w:rPr>
      </w:pPr>
    </w:p>
    <w:p w:rsidR="005046EB" w:rsidRDefault="005046EB">
      <w:pPr>
        <w:rPr>
          <w:rFonts w:ascii="Times New Roman" w:eastAsia="Times New Roman" w:hAnsi="Times New Roman" w:cs="Times New Roman"/>
          <w:lang w:val="pl-PL"/>
        </w:rPr>
      </w:pPr>
      <w:r>
        <w:rPr>
          <w:rFonts w:ascii="Times New Roman" w:eastAsia="Times New Roman" w:hAnsi="Times New Roman" w:cs="Times New Roman"/>
          <w:lang w:val="pl-PL"/>
        </w:rPr>
        <w:br w:type="page"/>
      </w:r>
    </w:p>
    <w:p w:rsidR="005046EB" w:rsidRPr="005046EB" w:rsidRDefault="005046EB" w:rsidP="005046EB">
      <w:pPr>
        <w:spacing w:after="120" w:line="240" w:lineRule="auto"/>
        <w:ind w:left="68"/>
        <w:jc w:val="center"/>
        <w:rPr>
          <w:rFonts w:ascii="Times New Roman" w:hAnsi="Times New Roman" w:cs="Times New Roman"/>
          <w:lang w:val="pl-PL"/>
        </w:rPr>
      </w:pPr>
    </w:p>
    <w:p w:rsidR="005046EB" w:rsidRPr="005046EB" w:rsidRDefault="005046EB" w:rsidP="005046EB">
      <w:pPr>
        <w:spacing w:after="0" w:line="240" w:lineRule="auto"/>
        <w:jc w:val="center"/>
        <w:rPr>
          <w:rFonts w:ascii="Arial" w:eastAsia="SimSun" w:hAnsi="Arial" w:cs="Arial"/>
          <w:b/>
          <w:bCs/>
          <w:color w:val="auto"/>
          <w:sz w:val="24"/>
          <w:szCs w:val="24"/>
          <w:lang w:val="pl-PL" w:eastAsia="zh-CN"/>
        </w:rPr>
      </w:pPr>
      <w:r w:rsidRPr="005046EB">
        <w:rPr>
          <w:rFonts w:ascii="Arial" w:eastAsia="SimSun" w:hAnsi="Arial" w:cs="Arial"/>
          <w:b/>
          <w:bCs/>
          <w:color w:val="auto"/>
          <w:sz w:val="24"/>
          <w:szCs w:val="24"/>
          <w:lang w:val="pl-PL" w:eastAsia="zh-CN"/>
        </w:rPr>
        <w:t>SPRAWOZDANIE</w:t>
      </w:r>
    </w:p>
    <w:p w:rsidR="005046EB" w:rsidRPr="005046EB" w:rsidRDefault="005046EB" w:rsidP="005046EB">
      <w:pPr>
        <w:spacing w:after="0" w:line="240" w:lineRule="auto"/>
        <w:jc w:val="center"/>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z działalności Rady Nadzorczej Banku Handlowego w Warszawie S.A.</w:t>
      </w:r>
    </w:p>
    <w:p w:rsidR="005046EB" w:rsidRPr="005046EB" w:rsidRDefault="005046EB" w:rsidP="005046EB">
      <w:pPr>
        <w:spacing w:after="0" w:line="240" w:lineRule="auto"/>
        <w:jc w:val="center"/>
        <w:rPr>
          <w:rFonts w:ascii="Arial" w:eastAsia="SimSun" w:hAnsi="Arial" w:cs="Arial"/>
          <w:b/>
          <w:bCs/>
          <w:color w:val="auto"/>
          <w:sz w:val="20"/>
          <w:szCs w:val="20"/>
          <w:lang w:val="pl-PL" w:eastAsia="zh-CN"/>
        </w:rPr>
      </w:pPr>
    </w:p>
    <w:p w:rsidR="005046EB" w:rsidRPr="005046EB" w:rsidRDefault="005046EB" w:rsidP="005046EB">
      <w:pPr>
        <w:spacing w:after="0" w:line="240" w:lineRule="auto"/>
        <w:jc w:val="center"/>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za okres od dnia odbycia Zwyczajnego Walnego Zgromadzenia w roku 2020</w:t>
      </w:r>
    </w:p>
    <w:p w:rsidR="005046EB" w:rsidRPr="005046EB" w:rsidRDefault="005046EB" w:rsidP="005046EB">
      <w:pPr>
        <w:spacing w:after="0" w:line="240" w:lineRule="auto"/>
        <w:jc w:val="center"/>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do dnia odbycia Zwyczajnego Walnego Zgromadzenia w roku 2021</w:t>
      </w:r>
    </w:p>
    <w:p w:rsidR="005046EB" w:rsidRPr="005046EB" w:rsidRDefault="005046EB" w:rsidP="005046EB">
      <w:pPr>
        <w:spacing w:after="0" w:line="240" w:lineRule="auto"/>
        <w:jc w:val="center"/>
        <w:rPr>
          <w:rFonts w:ascii="Arial" w:eastAsia="SimSun" w:hAnsi="Arial" w:cs="Arial"/>
          <w:color w:val="auto"/>
          <w:sz w:val="20"/>
          <w:szCs w:val="20"/>
          <w:lang w:val="pl-PL" w:eastAsia="zh-CN"/>
        </w:rPr>
      </w:pPr>
    </w:p>
    <w:p w:rsidR="005046EB" w:rsidRPr="005046EB" w:rsidRDefault="005046EB" w:rsidP="005046EB">
      <w:pPr>
        <w:spacing w:after="0" w:line="240" w:lineRule="auto"/>
        <w:rPr>
          <w:rFonts w:ascii="Arial" w:eastAsia="SimSun" w:hAnsi="Arial" w:cs="Arial"/>
          <w:color w:val="auto"/>
          <w:sz w:val="20"/>
          <w:szCs w:val="20"/>
          <w:lang w:val="pl-PL" w:eastAsia="zh-CN"/>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 xml:space="preserve">Skład Rady Nadzorczej </w:t>
      </w:r>
    </w:p>
    <w:p w:rsidR="005046EB" w:rsidRPr="005046EB" w:rsidRDefault="005046EB" w:rsidP="005046EB">
      <w:pPr>
        <w:spacing w:after="0" w:line="240" w:lineRule="auto"/>
        <w:rPr>
          <w:rFonts w:ascii="Arial" w:eastAsia="SimSun" w:hAnsi="Arial" w:cs="Arial"/>
          <w:b/>
          <w:bCs/>
          <w:color w:val="auto"/>
          <w:sz w:val="20"/>
          <w:szCs w:val="20"/>
          <w:lang w:val="pl-PL" w:eastAsia="zh-CN"/>
        </w:rPr>
      </w:pPr>
    </w:p>
    <w:p w:rsidR="005046EB" w:rsidRPr="005046EB" w:rsidRDefault="005046EB" w:rsidP="005046EB">
      <w:pPr>
        <w:spacing w:after="0" w:line="240" w:lineRule="auto"/>
        <w:rPr>
          <w:rFonts w:ascii="Arial" w:eastAsia="SimSun" w:hAnsi="Arial" w:cs="Arial"/>
          <w:b/>
          <w:bCs/>
          <w:color w:val="auto"/>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okresie sprawozdawczym Rada Nadzorcza Banku działała w następującym składzie:</w:t>
      </w:r>
    </w:p>
    <w:p w:rsidR="005046EB" w:rsidRPr="005046EB" w:rsidRDefault="005046EB" w:rsidP="005046EB">
      <w:pPr>
        <w:spacing w:after="0" w:line="240" w:lineRule="auto"/>
        <w:jc w:val="both"/>
        <w:rPr>
          <w:rFonts w:ascii="Arial" w:eastAsia="SimSun" w:hAnsi="Arial" w:cs="Arial"/>
          <w:color w:val="auto"/>
          <w:sz w:val="20"/>
          <w:szCs w:val="20"/>
          <w:lang w:val="pl-PL" w:eastAsia="zh-CN"/>
        </w:rPr>
      </w:pPr>
    </w:p>
    <w:tbl>
      <w:tblPr>
        <w:tblW w:w="8460" w:type="dxa"/>
        <w:tblInd w:w="959" w:type="dxa"/>
        <w:tblLook w:val="01E0" w:firstRow="1" w:lastRow="1" w:firstColumn="1" w:lastColumn="1" w:noHBand="0" w:noVBand="0"/>
      </w:tblPr>
      <w:tblGrid>
        <w:gridCol w:w="2880"/>
        <w:gridCol w:w="2880"/>
        <w:gridCol w:w="2700"/>
      </w:tblGrid>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Andrzej Olechowski</w:t>
            </w:r>
          </w:p>
        </w:tc>
        <w:tc>
          <w:tcPr>
            <w:tcW w:w="2880"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Przewodniczący Rady </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cały okres sprawozdawczy </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Frank Mannion</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Wiceprzewodniczący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Shirish Apte</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vertAlign w:val="superscript"/>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do 1 grudnia 2020 r.</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Kristine Braden</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Członek Rady </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od 2 grudnia 2020 r. </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Igor Chalupec</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Jenny Grey</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Marek Kapuściński</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 Gonzalo Luchetti </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Anna Rulkiewicz</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Barbara Smalska</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Stanisław Sołtysiński</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Zdenek Turek</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880"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Stephen R. Volk</w:t>
            </w:r>
          </w:p>
        </w:tc>
        <w:tc>
          <w:tcPr>
            <w:tcW w:w="288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bl>
    <w:p w:rsidR="005046EB" w:rsidRPr="005046EB" w:rsidRDefault="005046EB" w:rsidP="005046EB">
      <w:pPr>
        <w:tabs>
          <w:tab w:val="left" w:pos="851"/>
        </w:tabs>
        <w:spacing w:after="0" w:line="240" w:lineRule="auto"/>
        <w:ind w:left="851"/>
        <w:jc w:val="both"/>
        <w:rPr>
          <w:rFonts w:ascii="Arial" w:eastAsia="SimSun" w:hAnsi="Arial" w:cs="Arial"/>
          <w:bCs/>
          <w:sz w:val="15"/>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Niezależni Członkowie Rady Nadzorczej</w:t>
      </w:r>
    </w:p>
    <w:p w:rsidR="005046EB" w:rsidRPr="005046EB" w:rsidRDefault="005046EB" w:rsidP="005046EB">
      <w:pPr>
        <w:tabs>
          <w:tab w:val="left" w:pos="851"/>
        </w:tabs>
        <w:spacing w:after="0" w:line="240" w:lineRule="auto"/>
        <w:ind w:left="360"/>
        <w:jc w:val="both"/>
        <w:rPr>
          <w:rFonts w:ascii="Arial" w:eastAsia="SimSun" w:hAnsi="Arial" w:cs="Arial"/>
          <w:bCs/>
          <w:sz w:val="15"/>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 xml:space="preserve">Rada Nadzorcza oceniła, iż niezależnymi członkami Rady Nadzorczej w rozumieniu Statutu Banku są: </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2827"/>
        <w:gridCol w:w="2593"/>
      </w:tblGrid>
      <w:tr w:rsidR="005046EB" w:rsidRPr="005046EB" w:rsidTr="005046EB">
        <w:tc>
          <w:tcPr>
            <w:tcW w:w="2683" w:type="dxa"/>
            <w:tcBorders>
              <w:top w:val="nil"/>
              <w:left w:val="nil"/>
              <w:bottom w:val="nil"/>
              <w:right w:val="nil"/>
            </w:tcBorders>
            <w:hideMark/>
          </w:tcPr>
          <w:p w:rsidR="005046EB" w:rsidRPr="005046EB" w:rsidRDefault="005046EB" w:rsidP="005046EB">
            <w:pPr>
              <w:spacing w:after="0" w:line="240" w:lineRule="auto"/>
              <w:ind w:left="-108"/>
              <w:jc w:val="both"/>
              <w:rPr>
                <w:rFonts w:ascii="Arial" w:eastAsia="SimSun" w:hAnsi="Arial" w:cs="Times New Roman"/>
                <w:color w:val="auto"/>
                <w:sz w:val="20"/>
                <w:szCs w:val="24"/>
                <w:lang w:val="pl-PL" w:eastAsia="zh-CN"/>
              </w:rPr>
            </w:pPr>
            <w:r w:rsidRPr="005046EB">
              <w:rPr>
                <w:rFonts w:ascii="Arial" w:eastAsia="SimSun" w:hAnsi="Arial" w:cs="Arial"/>
                <w:color w:val="auto"/>
                <w:sz w:val="20"/>
                <w:szCs w:val="20"/>
                <w:lang w:val="pl-PL" w:eastAsia="zh-CN"/>
              </w:rPr>
              <w:t>Pan Igor Chalupec</w:t>
            </w:r>
          </w:p>
        </w:tc>
        <w:tc>
          <w:tcPr>
            <w:tcW w:w="2827" w:type="dxa"/>
            <w:tcBorders>
              <w:top w:val="nil"/>
              <w:left w:val="nil"/>
              <w:bottom w:val="nil"/>
              <w:right w:val="nil"/>
            </w:tcBorders>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r>
      <w:tr w:rsidR="005046EB" w:rsidRPr="005046EB" w:rsidTr="005046EB">
        <w:tc>
          <w:tcPr>
            <w:tcW w:w="2683" w:type="dxa"/>
            <w:tcBorders>
              <w:top w:val="nil"/>
              <w:left w:val="nil"/>
              <w:bottom w:val="nil"/>
              <w:right w:val="nil"/>
            </w:tcBorders>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Marek Kapuściński</w:t>
            </w:r>
          </w:p>
        </w:tc>
        <w:tc>
          <w:tcPr>
            <w:tcW w:w="2827" w:type="dxa"/>
            <w:tcBorders>
              <w:top w:val="nil"/>
              <w:left w:val="nil"/>
              <w:bottom w:val="nil"/>
              <w:right w:val="nil"/>
            </w:tcBorders>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r>
      <w:tr w:rsidR="005046EB" w:rsidRPr="005046EB" w:rsidTr="005046EB">
        <w:tc>
          <w:tcPr>
            <w:tcW w:w="2683" w:type="dxa"/>
            <w:tcBorders>
              <w:top w:val="nil"/>
              <w:left w:val="nil"/>
              <w:bottom w:val="nil"/>
              <w:right w:val="nil"/>
            </w:tcBorders>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Barbara Smalska</w:t>
            </w:r>
          </w:p>
        </w:tc>
        <w:tc>
          <w:tcPr>
            <w:tcW w:w="2827" w:type="dxa"/>
            <w:tcBorders>
              <w:top w:val="nil"/>
              <w:left w:val="nil"/>
              <w:bottom w:val="nil"/>
              <w:right w:val="nil"/>
            </w:tcBorders>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r>
      <w:tr w:rsidR="005046EB" w:rsidRPr="005046EB" w:rsidTr="005046EB">
        <w:tc>
          <w:tcPr>
            <w:tcW w:w="2683" w:type="dxa"/>
            <w:tcBorders>
              <w:top w:val="nil"/>
              <w:left w:val="nil"/>
              <w:bottom w:val="nil"/>
              <w:right w:val="nil"/>
            </w:tcBorders>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Anna Rulkiewicz</w:t>
            </w:r>
          </w:p>
        </w:tc>
        <w:tc>
          <w:tcPr>
            <w:tcW w:w="2827" w:type="dxa"/>
            <w:tcBorders>
              <w:top w:val="nil"/>
              <w:left w:val="nil"/>
              <w:bottom w:val="nil"/>
              <w:right w:val="nil"/>
            </w:tcBorders>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r>
    </w:tbl>
    <w:p w:rsidR="005046EB" w:rsidRPr="005046EB" w:rsidRDefault="005046EB" w:rsidP="005046EB">
      <w:pPr>
        <w:tabs>
          <w:tab w:val="left" w:pos="851"/>
        </w:tabs>
        <w:spacing w:after="0" w:line="240" w:lineRule="auto"/>
        <w:ind w:left="851"/>
        <w:jc w:val="both"/>
        <w:rPr>
          <w:rFonts w:ascii="Arial" w:eastAsia="SimSun" w:hAnsi="Arial" w:cs="Arial"/>
          <w:bCs/>
          <w:sz w:val="15"/>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Ocena składu Rady Nadzorczej</w:t>
      </w:r>
    </w:p>
    <w:p w:rsidR="005046EB" w:rsidRPr="005046EB" w:rsidRDefault="005046EB" w:rsidP="005046EB">
      <w:pPr>
        <w:spacing w:after="0" w:line="240" w:lineRule="auto"/>
        <w:ind w:left="851"/>
        <w:jc w:val="both"/>
        <w:rPr>
          <w:rFonts w:ascii="Arial" w:eastAsia="SimSun" w:hAnsi="Arial" w:cs="Arial"/>
          <w:bCs/>
          <w:sz w:val="15"/>
          <w:szCs w:val="20"/>
          <w:lang w:val="pl-PL" w:eastAsia="zh-CN"/>
        </w:rPr>
      </w:pPr>
    </w:p>
    <w:p w:rsidR="005046EB" w:rsidRPr="005046EB" w:rsidRDefault="005046EB" w:rsidP="005046EB">
      <w:pPr>
        <w:spacing w:after="0" w:line="240" w:lineRule="auto"/>
        <w:ind w:left="85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 xml:space="preserve">Ocena odpowiedniości i niezależności. </w:t>
      </w:r>
    </w:p>
    <w:p w:rsidR="005046EB" w:rsidRPr="005046EB" w:rsidRDefault="005046EB" w:rsidP="005046EB">
      <w:pPr>
        <w:spacing w:after="0" w:line="240" w:lineRule="auto"/>
        <w:ind w:left="851"/>
        <w:jc w:val="both"/>
        <w:rPr>
          <w:rFonts w:ascii="Arial" w:eastAsia="SimSun" w:hAnsi="Arial" w:cs="Arial"/>
          <w:bCs/>
          <w:sz w:val="15"/>
          <w:szCs w:val="20"/>
          <w:lang w:val="pl-PL" w:eastAsia="zh-CN"/>
        </w:rPr>
      </w:pPr>
    </w:p>
    <w:p w:rsidR="005046EB" w:rsidRPr="005046EB" w:rsidRDefault="005046EB" w:rsidP="005046EB">
      <w:pPr>
        <w:spacing w:after="0" w:line="240" w:lineRule="auto"/>
        <w:ind w:left="85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 xml:space="preserve">Rada Nadzorcza wskazuje, iż w jej skład, w okresie sprawozdawczym, wchodziły osoby posiadające szeroką wiedzę z zakresu prawa, ekonomii, bankowości, zarządzania i finansów. Członkowie Rady posiadają wiedzę praktyczną nabytą podczas sprawowania funkcji kierowniczych w międzynarodowych instytucjach gospodarczych. Członkowie Rady Nadzorczej posiadają odpowiednią wiedzę, umiejętności i doświadczenie. Rada Nadzorcza ocenia, iż kwalifikacje członków Rady Nadzorczej zapewniają prawidłowe wykonywanie zadań Rady wynikających z obowiązujących przepisów a skład Rady Nadzorczej Banku posiada odpowiednio szeroki zakres kompetencji niezbędny do nadzorowania wszystkich istotnych obszarów działalności Banku. Dodatkowo, Rada Nadzorcza pozytywnie ocenia skład Rady z uwzględnieniem zasad różnorodności wdrożonych w celu </w:t>
      </w:r>
      <w:r w:rsidRPr="005046EB">
        <w:rPr>
          <w:rFonts w:ascii="Arial" w:eastAsia="SimSun" w:hAnsi="Arial" w:cs="Times New Roman"/>
          <w:color w:val="auto"/>
          <w:sz w:val="20"/>
          <w:szCs w:val="24"/>
          <w:lang w:val="pl-PL" w:eastAsia="zh-CN"/>
        </w:rPr>
        <w:t>zapewnienia odpowiedniego poziomu kolektywnego nadzoru nad zarządzaniem Bankiem.</w:t>
      </w:r>
    </w:p>
    <w:p w:rsidR="005046EB" w:rsidRPr="005046EB" w:rsidRDefault="005046EB" w:rsidP="005046EB">
      <w:pPr>
        <w:spacing w:after="0" w:line="240" w:lineRule="auto"/>
        <w:ind w:left="85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 xml:space="preserve">Struktura Rady, w tym wyodrębnione komitety, wykorzystują doświadczenie i wiedzę Członków Rady przyczyniając się do realizacji postawionych przed Radą Nadzorczą celów. </w:t>
      </w:r>
    </w:p>
    <w:p w:rsidR="005046EB" w:rsidRPr="005046EB" w:rsidRDefault="005046EB" w:rsidP="005046EB">
      <w:pPr>
        <w:spacing w:after="0" w:line="240" w:lineRule="auto"/>
        <w:ind w:left="851"/>
        <w:jc w:val="both"/>
        <w:rPr>
          <w:rFonts w:ascii="Arial" w:eastAsia="SimSun" w:hAnsi="Arial" w:cs="Arial"/>
          <w:bCs/>
          <w:sz w:val="15"/>
          <w:szCs w:val="20"/>
          <w:lang w:val="pl-PL" w:eastAsia="zh-CN"/>
        </w:rPr>
      </w:pPr>
    </w:p>
    <w:p w:rsidR="005046EB" w:rsidRPr="005046EB" w:rsidRDefault="005046EB" w:rsidP="005046EB">
      <w:pPr>
        <w:spacing w:after="0" w:line="240" w:lineRule="auto"/>
        <w:ind w:left="720"/>
        <w:jc w:val="both"/>
        <w:rPr>
          <w:rFonts w:ascii="Arial" w:eastAsia="SimSun" w:hAnsi="Arial" w:cs="Times New Roman"/>
          <w:color w:val="auto"/>
          <w:sz w:val="20"/>
          <w:szCs w:val="24"/>
          <w:vertAlign w:val="superscript"/>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okresie sprawozdawczym Komitety Rady Nadzorczej działały w następujących składach:</w:t>
      </w:r>
    </w:p>
    <w:p w:rsidR="005046EB" w:rsidRPr="005046EB" w:rsidRDefault="005046EB" w:rsidP="005046EB">
      <w:pPr>
        <w:spacing w:after="0" w:line="240" w:lineRule="auto"/>
        <w:ind w:left="720"/>
        <w:rPr>
          <w:rFonts w:ascii="Arial" w:eastAsia="SimSun" w:hAnsi="Arial" w:cs="Arial"/>
          <w:color w:val="auto"/>
          <w:sz w:val="20"/>
          <w:szCs w:val="20"/>
          <w:lang w:val="pl-PL" w:eastAsia="zh-CN"/>
        </w:rPr>
      </w:pPr>
    </w:p>
    <w:p w:rsidR="005046EB" w:rsidRPr="005046EB" w:rsidRDefault="005046EB" w:rsidP="00223F2E">
      <w:pPr>
        <w:numPr>
          <w:ilvl w:val="2"/>
          <w:numId w:val="14"/>
        </w:numPr>
        <w:tabs>
          <w:tab w:val="left" w:pos="1276"/>
        </w:tabs>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Komitet ds. Audytu</w:t>
      </w:r>
    </w:p>
    <w:p w:rsidR="005046EB" w:rsidRPr="005046EB" w:rsidRDefault="005046EB" w:rsidP="005046EB">
      <w:pPr>
        <w:spacing w:after="0" w:line="240" w:lineRule="auto"/>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439"/>
        <w:gridCol w:w="2636"/>
        <w:gridCol w:w="2613"/>
      </w:tblGrid>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Pani Barbara Smalska </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Przewodnicząca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Frank Mannion</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vertAlign w:val="superscript"/>
                <w:lang w:val="pl-PL" w:eastAsia="zh-CN"/>
              </w:rPr>
            </w:pPr>
            <w:r w:rsidRPr="005046EB">
              <w:rPr>
                <w:rFonts w:ascii="Arial" w:eastAsia="SimSun" w:hAnsi="Arial" w:cs="Arial"/>
                <w:color w:val="auto"/>
                <w:sz w:val="20"/>
                <w:szCs w:val="20"/>
                <w:lang w:val="pl-PL" w:eastAsia="zh-CN"/>
              </w:rPr>
              <w:t>Wiceprzewodniczący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Shirish Apte</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do 1 grudnia 2020 r.</w:t>
            </w:r>
          </w:p>
        </w:tc>
      </w:tr>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Kristine Braden</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od 4 grudnia 2020 r.</w:t>
            </w:r>
          </w:p>
        </w:tc>
      </w:tr>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Igor Chalupec</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Marek Kapuściński</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cały okres sprawozdawczy </w:t>
            </w:r>
          </w:p>
        </w:tc>
      </w:tr>
      <w:tr w:rsidR="005046EB" w:rsidRPr="005046EB" w:rsidTr="005046EB">
        <w:tc>
          <w:tcPr>
            <w:tcW w:w="2439"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Anna Rulkiewicz</w:t>
            </w:r>
          </w:p>
        </w:tc>
        <w:tc>
          <w:tcPr>
            <w:tcW w:w="2636"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1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bl>
    <w:p w:rsidR="005046EB" w:rsidRPr="005046EB" w:rsidRDefault="005046EB" w:rsidP="005046EB">
      <w:pPr>
        <w:spacing w:after="0" w:line="240" w:lineRule="auto"/>
        <w:ind w:left="720"/>
        <w:rPr>
          <w:rFonts w:ascii="Arial" w:eastAsia="SimSun" w:hAnsi="Arial" w:cs="Arial"/>
          <w:color w:val="auto"/>
          <w:sz w:val="20"/>
          <w:szCs w:val="20"/>
          <w:lang w:val="pl-PL" w:eastAsia="zh-CN"/>
        </w:rPr>
      </w:pPr>
    </w:p>
    <w:p w:rsidR="005046EB" w:rsidRPr="005046EB" w:rsidRDefault="005046EB" w:rsidP="005046EB">
      <w:pPr>
        <w:spacing w:after="0" w:line="240" w:lineRule="auto"/>
        <w:ind w:left="127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Za członków Komitetu ds. Audytu Rady Nadzorczej Banku Handlowego w Warszawie S.A. posiadających wiedzę i umiejętności w zakresie rachunkowości i badania sprawozdań finansowych Rada Nadzorcza uznaje:</w:t>
      </w:r>
    </w:p>
    <w:p w:rsidR="005046EB" w:rsidRPr="005046EB" w:rsidRDefault="005046EB" w:rsidP="005046EB">
      <w:pPr>
        <w:spacing w:after="0" w:line="240" w:lineRule="auto"/>
        <w:ind w:left="1276"/>
        <w:jc w:val="both"/>
        <w:rPr>
          <w:rFonts w:ascii="Arial" w:eastAsia="SimSun" w:hAnsi="Arial" w:cs="Arial"/>
          <w:color w:val="auto"/>
          <w:sz w:val="20"/>
          <w:szCs w:val="20"/>
          <w:lang w:val="pl-PL" w:eastAsia="zh-CN"/>
        </w:rPr>
      </w:pPr>
    </w:p>
    <w:p w:rsidR="005046EB" w:rsidRPr="005046EB" w:rsidRDefault="005046EB" w:rsidP="00223F2E">
      <w:pPr>
        <w:numPr>
          <w:ilvl w:val="0"/>
          <w:numId w:val="15"/>
        </w:numPr>
        <w:spacing w:after="0" w:line="240" w:lineRule="auto"/>
        <w:ind w:left="1701" w:hanging="425"/>
        <w:contextualSpacing/>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lastRenderedPageBreak/>
        <w:t xml:space="preserve">Panią Barbarę Smalską ze względu na: posiadane doświadczenie zawodowe; </w:t>
      </w:r>
      <w:r w:rsidRPr="005046EB">
        <w:rPr>
          <w:rFonts w:ascii="Arial" w:eastAsia="SimSun" w:hAnsi="Arial" w:cs="Arial"/>
          <w:sz w:val="20"/>
          <w:szCs w:val="20"/>
          <w:lang w:val="pl-PL" w:eastAsia="zh-CN"/>
        </w:rPr>
        <w:t xml:space="preserve">Pani Smalska pełniła funkcję Wiceprezesa Zarządu Alior Bank S.A., szereg funkcji kierowniczych w ramach grupy PZU, zasiadała również w radach nadzorczych towarzystw ubezpieczeniowych. </w:t>
      </w:r>
    </w:p>
    <w:p w:rsidR="005046EB" w:rsidRPr="005046EB" w:rsidRDefault="005046EB" w:rsidP="00223F2E">
      <w:pPr>
        <w:numPr>
          <w:ilvl w:val="0"/>
          <w:numId w:val="15"/>
        </w:numPr>
        <w:spacing w:after="0" w:line="240" w:lineRule="auto"/>
        <w:ind w:left="1701" w:hanging="425"/>
        <w:contextualSpacing/>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Pana Shirisha Apte ze względu na: (i) wykształcenie - posiada dyplom biegłego rewidenta uzyskany w Institute of Chartered Accountants w Anglii i Walii oraz stopień licencjata w dziedzinie handlu. Pan Shirish Apte posiada również dyplom MBA z London Business School; (ii) posiadane doświadczenie zawodowe; </w:t>
      </w:r>
    </w:p>
    <w:p w:rsidR="005046EB" w:rsidRPr="005046EB" w:rsidRDefault="005046EB" w:rsidP="00223F2E">
      <w:pPr>
        <w:numPr>
          <w:ilvl w:val="0"/>
          <w:numId w:val="15"/>
        </w:numPr>
        <w:spacing w:after="0" w:line="240" w:lineRule="auto"/>
        <w:ind w:left="1701" w:hanging="425"/>
        <w:contextualSpacing/>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Panią Kristine Braden ze względu na: (i) wykształcenie – ukończyła szkołę rachunkowości i finansowania przedsiębiorstw na poziomie magisterskim na Johns Hopkins University, School of Advanced International Studies, Waszyngton; (ii) posiadane doświadczenie zawodowe; </w:t>
      </w:r>
    </w:p>
    <w:p w:rsidR="005046EB" w:rsidRPr="005046EB" w:rsidRDefault="005046EB" w:rsidP="00223F2E">
      <w:pPr>
        <w:numPr>
          <w:ilvl w:val="0"/>
          <w:numId w:val="15"/>
        </w:numPr>
        <w:spacing w:after="0" w:line="240" w:lineRule="auto"/>
        <w:ind w:left="1701" w:hanging="425"/>
        <w:contextualSpacing/>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Pana Franka Manniona ze względu na: (i) wykształcenie - ukończył National University of Ireland w Galway, uzyskując tytuł naukowy w dziedzinie handlu. Posiada również tytuł dyplomowanego księgowego (Chartered Accountant); (ii) posiadane doświadczenie zawodowe; </w:t>
      </w:r>
    </w:p>
    <w:p w:rsidR="005046EB" w:rsidRPr="005046EB" w:rsidRDefault="005046EB" w:rsidP="00223F2E">
      <w:pPr>
        <w:numPr>
          <w:ilvl w:val="0"/>
          <w:numId w:val="15"/>
        </w:numPr>
        <w:spacing w:after="0" w:line="240" w:lineRule="auto"/>
        <w:ind w:left="1701" w:hanging="425"/>
        <w:contextualSpacing/>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Pana Igora Chalupca ze względu na: (i) wykształcenie – jest absolwentem Wydziału Handlu Zagranicznego Szkoły Głównej Handlowej w Warszawie oraz Prawa i Administracji Uniwersytetu Warszawskiego; (ii) posiadane doświadczenie zawodowe. </w:t>
      </w:r>
    </w:p>
    <w:p w:rsidR="005046EB" w:rsidRPr="005046EB" w:rsidRDefault="005046EB" w:rsidP="00223F2E">
      <w:pPr>
        <w:numPr>
          <w:ilvl w:val="0"/>
          <w:numId w:val="15"/>
        </w:numPr>
        <w:spacing w:after="0" w:line="240" w:lineRule="auto"/>
        <w:ind w:left="1701" w:hanging="425"/>
        <w:contextualSpacing/>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Panią Annę Rulkiewicz ze względu na: (i) wykształcenie – ukończyła Stanford Executive Program na Stanford University Graduate School of Business; (ii) posiadane doświadczenie zawodowe. </w:t>
      </w:r>
    </w:p>
    <w:p w:rsidR="005046EB" w:rsidRPr="005046EB" w:rsidRDefault="005046EB" w:rsidP="005046EB">
      <w:pPr>
        <w:spacing w:after="0" w:line="240" w:lineRule="auto"/>
        <w:ind w:left="720"/>
        <w:rPr>
          <w:rFonts w:ascii="Arial" w:eastAsia="SimSun" w:hAnsi="Arial" w:cs="Arial"/>
          <w:color w:val="auto"/>
          <w:sz w:val="20"/>
          <w:szCs w:val="20"/>
          <w:lang w:val="pl-PL" w:eastAsia="zh-CN"/>
        </w:rPr>
      </w:pPr>
    </w:p>
    <w:p w:rsidR="005046EB" w:rsidRPr="005046EB" w:rsidRDefault="005046EB" w:rsidP="005046EB">
      <w:pPr>
        <w:spacing w:after="0" w:line="240" w:lineRule="auto"/>
        <w:ind w:left="127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Następujący członkowie Komitetu ds. Audytu są niezależni w rozumieniu art. 129 ust. 3 ustawy z dnia 11 maja 2017 r. o biegłych rewidentach, firmach audytorskich oraz nadzorze publicznym: Pan Igor Chalupec, Pan Marek Kapuściński, Pani Barbara Smalska oraz Pani Anna Rulkiewicz.</w:t>
      </w:r>
    </w:p>
    <w:p w:rsidR="005046EB" w:rsidRPr="005046EB" w:rsidRDefault="005046EB" w:rsidP="005046EB">
      <w:pPr>
        <w:spacing w:after="0" w:line="240" w:lineRule="auto"/>
        <w:ind w:left="1276"/>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720"/>
        <w:rPr>
          <w:rFonts w:ascii="Arial" w:eastAsia="SimSun" w:hAnsi="Arial" w:cs="Arial"/>
          <w:color w:val="auto"/>
          <w:sz w:val="20"/>
          <w:szCs w:val="20"/>
          <w:lang w:val="pl-PL" w:eastAsia="zh-CN"/>
        </w:rPr>
      </w:pPr>
    </w:p>
    <w:p w:rsidR="005046EB" w:rsidRPr="005046EB" w:rsidRDefault="005046EB" w:rsidP="00223F2E">
      <w:pPr>
        <w:numPr>
          <w:ilvl w:val="2"/>
          <w:numId w:val="14"/>
        </w:numPr>
        <w:tabs>
          <w:tab w:val="left" w:pos="1276"/>
        </w:tabs>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Komitet ds. Nominacji i Wynagrodzeń</w:t>
      </w:r>
    </w:p>
    <w:p w:rsidR="005046EB" w:rsidRPr="005046EB" w:rsidRDefault="005046EB" w:rsidP="005046EB">
      <w:pPr>
        <w:spacing w:after="0" w:line="240" w:lineRule="auto"/>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552"/>
        <w:gridCol w:w="2652"/>
        <w:gridCol w:w="2700"/>
      </w:tblGrid>
      <w:tr w:rsidR="005046EB" w:rsidRPr="005046EB" w:rsidTr="005046EB">
        <w:tc>
          <w:tcPr>
            <w:tcW w:w="2552"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Andrzej Olechowski</w:t>
            </w:r>
          </w:p>
        </w:tc>
        <w:tc>
          <w:tcPr>
            <w:tcW w:w="2652"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Przewodniczący Komitetu</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552" w:type="dxa"/>
          </w:tcPr>
          <w:p w:rsidR="005046EB" w:rsidRPr="005046EB" w:rsidRDefault="005046EB" w:rsidP="005046EB">
            <w:pPr>
              <w:spacing w:after="0" w:line="240" w:lineRule="auto"/>
              <w:ind w:left="-108"/>
              <w:rPr>
                <w:rFonts w:ascii="Arial" w:eastAsia="SimSun" w:hAnsi="Arial" w:cs="Arial"/>
                <w:color w:val="auto"/>
                <w:sz w:val="20"/>
                <w:szCs w:val="20"/>
                <w:lang w:val="pl-PL" w:eastAsia="zh-CN"/>
              </w:rPr>
            </w:pPr>
          </w:p>
          <w:p w:rsidR="005046EB" w:rsidRPr="005046EB" w:rsidRDefault="005046EB" w:rsidP="005046EB">
            <w:pPr>
              <w:spacing w:after="0" w:line="240" w:lineRule="auto"/>
              <w:ind w:left="-108"/>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Jenny Grey</w:t>
            </w:r>
          </w:p>
        </w:tc>
        <w:tc>
          <w:tcPr>
            <w:tcW w:w="2652" w:type="dxa"/>
          </w:tcPr>
          <w:p w:rsidR="005046EB" w:rsidRPr="005046EB" w:rsidRDefault="005046EB" w:rsidP="005046EB">
            <w:pPr>
              <w:spacing w:after="0" w:line="240" w:lineRule="auto"/>
              <w:rPr>
                <w:rFonts w:ascii="Arial" w:eastAsia="SimSun" w:hAnsi="Arial" w:cs="Arial"/>
                <w:color w:val="auto"/>
                <w:sz w:val="20"/>
                <w:szCs w:val="20"/>
                <w:lang w:val="pl-PL" w:eastAsia="zh-CN"/>
              </w:rPr>
            </w:pPr>
          </w:p>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Wiceprzewodnicząca Komitetu</w:t>
            </w:r>
          </w:p>
        </w:tc>
        <w:tc>
          <w:tcPr>
            <w:tcW w:w="2700" w:type="dxa"/>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552" w:type="dxa"/>
            <w:hideMark/>
          </w:tcPr>
          <w:p w:rsidR="005046EB" w:rsidRPr="005046EB" w:rsidRDefault="005046EB" w:rsidP="005046EB">
            <w:pPr>
              <w:spacing w:after="0" w:line="240" w:lineRule="auto"/>
              <w:ind w:left="-108"/>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Zdenek Turek</w:t>
            </w:r>
          </w:p>
        </w:tc>
        <w:tc>
          <w:tcPr>
            <w:tcW w:w="2652"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552" w:type="dxa"/>
            <w:hideMark/>
          </w:tcPr>
          <w:p w:rsidR="005046EB" w:rsidRPr="005046EB" w:rsidRDefault="005046EB" w:rsidP="005046EB">
            <w:pPr>
              <w:spacing w:after="0" w:line="240" w:lineRule="auto"/>
              <w:ind w:left="-108"/>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Stanisław Sołtysiński</w:t>
            </w:r>
          </w:p>
        </w:tc>
        <w:tc>
          <w:tcPr>
            <w:tcW w:w="2652"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00"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bl>
    <w:p w:rsidR="005046EB" w:rsidRPr="005046EB" w:rsidRDefault="005046EB" w:rsidP="005046EB">
      <w:pPr>
        <w:spacing w:after="0" w:line="240" w:lineRule="auto"/>
        <w:rPr>
          <w:rFonts w:ascii="Arial" w:eastAsia="SimSun" w:hAnsi="Arial" w:cs="Arial"/>
          <w:color w:val="auto"/>
          <w:sz w:val="20"/>
          <w:szCs w:val="20"/>
          <w:lang w:val="pl-PL" w:eastAsia="zh-CN"/>
        </w:rPr>
      </w:pPr>
    </w:p>
    <w:p w:rsidR="005046EB" w:rsidRPr="005046EB" w:rsidRDefault="005046EB" w:rsidP="005046EB">
      <w:pPr>
        <w:spacing w:after="0" w:line="240" w:lineRule="auto"/>
        <w:rPr>
          <w:rFonts w:ascii="Arial" w:eastAsia="SimSun" w:hAnsi="Arial" w:cs="Arial"/>
          <w:color w:val="auto"/>
          <w:sz w:val="20"/>
          <w:szCs w:val="20"/>
          <w:lang w:val="pl-PL" w:eastAsia="zh-CN"/>
        </w:rPr>
      </w:pPr>
    </w:p>
    <w:p w:rsidR="005046EB" w:rsidRPr="005046EB" w:rsidRDefault="005046EB" w:rsidP="00223F2E">
      <w:pPr>
        <w:numPr>
          <w:ilvl w:val="2"/>
          <w:numId w:val="14"/>
        </w:numPr>
        <w:tabs>
          <w:tab w:val="left" w:pos="1276"/>
        </w:tabs>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Komitet ds. Strategii i Zarządzania</w:t>
      </w:r>
    </w:p>
    <w:p w:rsidR="005046EB" w:rsidRPr="005046EB" w:rsidRDefault="005046EB" w:rsidP="005046EB">
      <w:pPr>
        <w:spacing w:after="0" w:line="240" w:lineRule="auto"/>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454"/>
        <w:gridCol w:w="2611"/>
        <w:gridCol w:w="2623"/>
      </w:tblGrid>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 Zdenek Turek </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Przewodniczący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Stanisław Sołtysiński</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Wiceprzewodniczący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 Shirish Apte </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Członek Komitetu </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do 1 grudnia 2020 r.</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Kristine Braden</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od 4 grudnia 2020 r.</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Igor Chalupec</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Jenny Grey</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Marek Kapuściński</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Frank Mannion</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Gonzalo Luchetti</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cały okres sprawozdawczy </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Andrzej Olechowski</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Anna Rulkiewicz</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Pani Barbara Smalska</w:t>
            </w:r>
          </w:p>
        </w:tc>
        <w:tc>
          <w:tcPr>
            <w:tcW w:w="2611"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Stephen R. Volk</w:t>
            </w:r>
          </w:p>
        </w:tc>
        <w:tc>
          <w:tcPr>
            <w:tcW w:w="2611"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623"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4" w:type="dxa"/>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p>
        </w:tc>
        <w:tc>
          <w:tcPr>
            <w:tcW w:w="2611" w:type="dxa"/>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c>
          <w:tcPr>
            <w:tcW w:w="2623" w:type="dxa"/>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r>
    </w:tbl>
    <w:p w:rsidR="005046EB" w:rsidRPr="005046EB" w:rsidRDefault="005046EB" w:rsidP="005046EB">
      <w:pPr>
        <w:spacing w:after="0" w:line="240" w:lineRule="auto"/>
        <w:ind w:left="720"/>
        <w:jc w:val="both"/>
        <w:rPr>
          <w:rFonts w:ascii="Arial" w:eastAsia="SimSun" w:hAnsi="Arial" w:cs="Arial"/>
          <w:bCs/>
          <w:color w:val="auto"/>
          <w:sz w:val="20"/>
          <w:szCs w:val="20"/>
          <w:lang w:val="pl-PL" w:eastAsia="zh-CN"/>
        </w:rPr>
      </w:pPr>
    </w:p>
    <w:p w:rsidR="005046EB" w:rsidRPr="005046EB" w:rsidRDefault="005046EB" w:rsidP="00223F2E">
      <w:pPr>
        <w:numPr>
          <w:ilvl w:val="2"/>
          <w:numId w:val="14"/>
        </w:numPr>
        <w:tabs>
          <w:tab w:val="left" w:pos="1276"/>
        </w:tabs>
        <w:spacing w:after="0" w:line="240" w:lineRule="auto"/>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Komitet ds. Ryzyka i Kapitału</w:t>
      </w:r>
    </w:p>
    <w:p w:rsidR="005046EB" w:rsidRPr="005046EB" w:rsidRDefault="005046EB" w:rsidP="005046EB">
      <w:pPr>
        <w:spacing w:after="0" w:line="240" w:lineRule="auto"/>
        <w:ind w:left="720"/>
        <w:jc w:val="both"/>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453"/>
        <w:gridCol w:w="2518"/>
        <w:gridCol w:w="2717"/>
      </w:tblGrid>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Pan Frank Mannion </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Przewodniczący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Igor Chalupec</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Wiceprzewodniczący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Marek Kapuściński</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Gonzalo Luchetti</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Andrzej Olechowski</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Barbara Smalska</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lastRenderedPageBreak/>
              <w:t xml:space="preserve">Pan Zdenek Turek </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r w:rsidR="005046EB" w:rsidRPr="005046EB" w:rsidTr="005046EB">
        <w:tc>
          <w:tcPr>
            <w:tcW w:w="2453" w:type="dxa"/>
            <w:hideMark/>
          </w:tcPr>
          <w:p w:rsidR="005046EB" w:rsidRPr="005046EB" w:rsidRDefault="005046EB" w:rsidP="005046EB">
            <w:pPr>
              <w:spacing w:after="0" w:line="240" w:lineRule="auto"/>
              <w:ind w:left="-108"/>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Pan Stephen R. Volk</w:t>
            </w:r>
          </w:p>
        </w:tc>
        <w:tc>
          <w:tcPr>
            <w:tcW w:w="2518" w:type="dxa"/>
            <w:hideMark/>
          </w:tcPr>
          <w:p w:rsidR="005046EB" w:rsidRPr="005046EB" w:rsidRDefault="005046EB" w:rsidP="005046EB">
            <w:pPr>
              <w:spacing w:after="0" w:line="240" w:lineRule="auto"/>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Członek Komitetu</w:t>
            </w:r>
          </w:p>
        </w:tc>
        <w:tc>
          <w:tcPr>
            <w:tcW w:w="2717" w:type="dxa"/>
            <w:hideMark/>
          </w:tcPr>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cały okres sprawozdawczy</w:t>
            </w:r>
          </w:p>
        </w:tc>
      </w:tr>
    </w:tbl>
    <w:p w:rsidR="005046EB" w:rsidRPr="005046EB" w:rsidRDefault="005046EB" w:rsidP="005046EB">
      <w:pPr>
        <w:spacing w:after="0" w:line="240" w:lineRule="auto"/>
        <w:jc w:val="both"/>
        <w:rPr>
          <w:rFonts w:ascii="Arial" w:eastAsia="SimSun" w:hAnsi="Arial" w:cs="Arial"/>
          <w:color w:val="auto"/>
          <w:sz w:val="20"/>
          <w:szCs w:val="20"/>
          <w:lang w:val="pl-PL" w:eastAsia="zh-CN"/>
        </w:rPr>
      </w:pPr>
    </w:p>
    <w:tbl>
      <w:tblPr>
        <w:tblW w:w="0" w:type="auto"/>
        <w:tblInd w:w="959" w:type="dxa"/>
        <w:tblLook w:val="01E0" w:firstRow="1" w:lastRow="1" w:firstColumn="1" w:lastColumn="1" w:noHBand="0" w:noVBand="0"/>
      </w:tblPr>
      <w:tblGrid>
        <w:gridCol w:w="2749"/>
        <w:gridCol w:w="2880"/>
        <w:gridCol w:w="2700"/>
      </w:tblGrid>
      <w:tr w:rsidR="005046EB" w:rsidRPr="005046EB" w:rsidTr="005046EB">
        <w:tc>
          <w:tcPr>
            <w:tcW w:w="2749" w:type="dxa"/>
          </w:tcPr>
          <w:p w:rsidR="005046EB" w:rsidRPr="005046EB" w:rsidRDefault="005046EB" w:rsidP="005046EB">
            <w:pPr>
              <w:spacing w:after="0" w:line="240" w:lineRule="auto"/>
              <w:rPr>
                <w:rFonts w:ascii="Arial" w:eastAsia="SimSun" w:hAnsi="Arial" w:cs="Arial"/>
                <w:color w:val="auto"/>
                <w:sz w:val="20"/>
                <w:szCs w:val="20"/>
                <w:lang w:val="pl-PL" w:eastAsia="zh-CN"/>
              </w:rPr>
            </w:pPr>
          </w:p>
        </w:tc>
        <w:tc>
          <w:tcPr>
            <w:tcW w:w="2880" w:type="dxa"/>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c>
          <w:tcPr>
            <w:tcW w:w="2700" w:type="dxa"/>
          </w:tcPr>
          <w:p w:rsidR="005046EB" w:rsidRPr="005046EB" w:rsidRDefault="005046EB" w:rsidP="005046EB">
            <w:pPr>
              <w:spacing w:after="0" w:line="240" w:lineRule="auto"/>
              <w:jc w:val="both"/>
              <w:rPr>
                <w:rFonts w:ascii="Arial" w:eastAsia="SimSun" w:hAnsi="Arial" w:cs="Arial"/>
                <w:color w:val="auto"/>
                <w:sz w:val="20"/>
                <w:szCs w:val="20"/>
                <w:lang w:val="pl-PL" w:eastAsia="zh-CN"/>
              </w:rPr>
            </w:pPr>
          </w:p>
        </w:tc>
      </w:tr>
    </w:tbl>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Posiedzenia Rady Nadzorczej i utworzonych przez nią komitetów</w:t>
      </w:r>
    </w:p>
    <w:p w:rsidR="005046EB" w:rsidRPr="005046EB" w:rsidRDefault="005046EB" w:rsidP="005046EB">
      <w:pPr>
        <w:tabs>
          <w:tab w:val="left" w:pos="851"/>
        </w:tabs>
        <w:spacing w:after="0" w:line="240" w:lineRule="auto"/>
        <w:ind w:left="360"/>
        <w:jc w:val="both"/>
        <w:rPr>
          <w:rFonts w:ascii="Arial" w:eastAsia="SimSun" w:hAnsi="Arial" w:cs="Arial"/>
          <w:bCs/>
          <w:sz w:val="15"/>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sz w:val="15"/>
          <w:szCs w:val="20"/>
          <w:lang w:val="pl-PL" w:eastAsia="zh-CN"/>
        </w:rPr>
      </w:pPr>
      <w:r w:rsidRPr="005046EB">
        <w:rPr>
          <w:rFonts w:ascii="Arial" w:eastAsia="SimSun" w:hAnsi="Arial" w:cs="Arial"/>
          <w:bCs/>
          <w:sz w:val="15"/>
          <w:szCs w:val="20"/>
          <w:lang w:val="pl-PL" w:eastAsia="zh-CN"/>
        </w:rPr>
        <w:t>W okresie objętym sprawozdaniem odbyło się 4 posiedzenia Rady Nadzorczej, natomiast  komitety Rady Nadzorczej odbyły następującą liczbę posiedzeń: Komitet ds. Audytu – 3, Komitet ds. Ryzyka i Kapitału – 3, Komitet ds. Nominacji i Wynagrodzeń – 4, Komitet ds. Strategii i Zarządzania – 3.</w:t>
      </w:r>
    </w:p>
    <w:p w:rsidR="005046EB" w:rsidRPr="005046EB" w:rsidRDefault="005046EB" w:rsidP="005046EB">
      <w:pPr>
        <w:tabs>
          <w:tab w:val="left" w:pos="851"/>
        </w:tabs>
        <w:spacing w:after="0" w:line="240" w:lineRule="auto"/>
        <w:ind w:left="851"/>
        <w:jc w:val="both"/>
        <w:rPr>
          <w:rFonts w:ascii="Arial" w:eastAsia="SimSun" w:hAnsi="Arial" w:cs="Arial"/>
          <w:bCs/>
          <w:sz w:val="15"/>
          <w:szCs w:val="20"/>
          <w:lang w:val="pl-PL" w:eastAsia="zh-CN"/>
        </w:rPr>
      </w:pPr>
    </w:p>
    <w:p w:rsidR="005046EB" w:rsidRPr="005046EB" w:rsidRDefault="005046EB" w:rsidP="005046EB">
      <w:pPr>
        <w:spacing w:after="0" w:line="240" w:lineRule="auto"/>
        <w:rPr>
          <w:rFonts w:ascii="Arial" w:eastAsia="SimSun" w:hAnsi="Arial" w:cs="Times New Roman"/>
          <w:color w:val="auto"/>
          <w:sz w:val="20"/>
          <w:szCs w:val="24"/>
          <w:lang w:val="pl-PL" w:eastAsia="zh-CN"/>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 xml:space="preserve">OCENA WYNIKÓW FINANSOWYCH I OGÓLNEJ SYTUACJI SPÓŁKI </w:t>
      </w:r>
    </w:p>
    <w:p w:rsidR="005046EB" w:rsidRPr="005046EB" w:rsidRDefault="005046EB" w:rsidP="005046EB">
      <w:pPr>
        <w:spacing w:after="0" w:line="240" w:lineRule="auto"/>
        <w:jc w:val="both"/>
        <w:rPr>
          <w:rFonts w:ascii="Arial" w:eastAsia="SimSun" w:hAnsi="Arial" w:cs="Arial"/>
          <w:b/>
          <w:bCs/>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Rok 2020 stał pod znakiem globalnej recesji wywołanej pandemią COVID-19, w wyniku której światowy Produkt Krajowy Brutto („PKB”) spadł o 3,6% wobec wzrostu o 2,7% w 2019 r. </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2020 roku warunki jak i otoczenie gospodarcze z jakim musiał zmierzyć się polski sektor bankowy uległy znacznemu pogorszeniu w porównaniu do 2019 roku. Szybko rozprzestrzeniający się wirus SARS-COV-2 wpłynął na zamrożenie aktywności gospodarczej w Polsce, co w efekcie przyczyniło się do spadku PKB Polski o 2,8% w 2020 roku w porównaniu do wzrostu 4,5% w 2019 roku. Był to najsłabszy wynik od ok. 30 lat w historii gospodarczej Polski. W reakcji na kryzys gospodarczy, regulatorzy zdecydowali się na bezprecedensowe decyzje. Rada Polityki Pieniężnej („RPP”) zdecydowała o istotnym obniżeniu stopy referencyjnej w krótkim okresie (między marcem a majem 2020 roku) z 1,5% do historycznie najniższego poziomu 0,1%. Jednocześnie obniżeniu uległa stopa rezerwy obowiązkowej z 3,5% do 0,5%, a Narodowy Bank Polski uruchomił program skupu obligacji. W ramach prowadzonych strukturalnych operacji otwartego rynku od połowy marca bank centralny zakupił obligacje o wartości ok. 108 mld zł, tj. ok. 4,8% PKB.</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tych trudnych warunkach gospodarczych, zysk netto sektora bankowego spadł o 44% w 2020 roku w stosunku do 2019 roku do poziomu 7,8 mld zł, a dynamika kredytów sektora niefinansowego uległa spowolnieniu z 4,6% r./r. w 2019 roku do poziomu 1,0% r./r. w 2020 roku.</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2020 roku działania Banku były nakierowane na zapewnienie ciągłości działania i wsparcia swoich klientów. Główne obszary działania Banku dotyczyły wspierania płynności klientów, poprzez uczestnictwo Banku w programach pomocowych jak Tarcza Finansowa Polskiego Funduszu Rozwoju i Funduszu Gwarancji Płynnościowych Banku Gospodarstwa Krajowego. Jednocześnie Bank koncentrował się na promowaniu i rozwoju cyfrowych narzędzi umożliwiających bezpieczny kontakt z Bankiem oraz inwestował w bezpieczeństwo stosowania tych narzędzi.</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Zysk netto Banku wyniósł 158,2 mln zł w 2020 roku, a na jego wysokość wpływ miały poniższe elementy rachunku zysków i strat.</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Przychody operacyjne Banku wyniosły w 2020 roku 2 miliardy 25 milionów zł i były niższe o 166 milionów zł, to jest 7,6% od przychodów operacyjnych w 2019 roku. Spadek ten dotyczył przede wszystkim wyniku odsetkowego, w wyniku obniżenia stóp procentowych przez RPP. Z drugiej strony, Bank odnotował mocną dynamikę aktywności biznesowej w strategicznych obszarach Banku związanych z rynkami finansowymi (transakcje FX, bankowość inwestycyjna i działalność powiernicza) oraz Wealth Management dla klientów indywidualnych.</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2020 roku koszty działania i koszty ogólnego zarządu wraz z amortyzacją wyniosły 1 miliard 196 milionów złotych i były nieznacznie wyższe (tj. 0.5%) w porównaniu do 2019 roku. W obszarze strategii zarządzania kosztami, Bank z jednej strony koncentrował się na osiąganiu oszczędności dzięki wprowadzaniu automatyzacji procesów, z drugiej strony inwestował w obszary wzrostu biznesu klientowskiego. W 2020 roku Bank był jedynym bankiem w Polsce, który oferował klientom indywidualnym trzy główne produkty bankowe (karta kredytowa, pożyczki gotówkowe i konto osobiste) w oparciu o rozwiązania biometryczne, nie wymagające fizycznego kontaktu klienta z bankiem. Jednocześnie, Bank otworzył nową platformę do wymiany walut – Citi Kantor. W obszarze Bankowości Instytucjonalnej, Bank skupił się na digitalizacji procesów w obszarze zarządzania środkami finansowymi, co przyczyniło się do wzrostu transakcji przetworzonych drogą elektroniczną o 7% r./r.</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 2020 roku wynik z tytułu oczekiwanych strat kredytowych ukształtował się na poziomie 191 milionów złotych. Pomimo bezprecedensowej sytuacji wywołanej pandemią COVID-19, jakość portfela kredytowego Banku pozostawała na stabilnym poziomie. Wskaźnik NPL na koniec 2020 roku wyniósł 3,7%, podczas gdy wskaźnik pokrycia odpisami osiągnął poziom 77% - znacznie lepiej niż w sektorze bankowym, gdzie powyższe wskaźniki kształtowały się odpowiednio na poziomie 6,9% i 59%. </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lastRenderedPageBreak/>
        <w:t xml:space="preserve">W 2020 roku akcja kredytowa Banku zmalała o 8% r./r. i spadek ten był wynikiem niepewności w odniesieniu do zaciągania zobowiązań przez przedsiębiorstwa w sytuacji panującej pandemii COVID-19, i wynikającej z niej ograniczenia ich działalności gospodarczej. W przypadku klientów indywidualnych, wpływ zamrożenia gospodarki oraz zmiany ich zachowań i przyzwyczajeń wpłynęły negatywnie na popyt na kredyty konsumpcyjne. </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Współczynnik wypłacalności Banku (TCR) wyniósł 22,2% i był znacznie powyżej poziomów regulacyjnych. Zdaniem Rady Nadzorczej, utrzymywany przez Bank poziom kapitałów jest wystarczający do zachowania bezpieczeństwa finansowego instytucji, zgromadzonych w niej depozytów, a także zapewnia możliwości rozwoju Banku. </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Najpoważniejszym czynnikiem ryzyka w 2021 roku jest dalszy rozwój i potencjalne nasilenie pandemii COVID-19, co w efekcie przyczyniłoby się do ponownego cyklicznego wygaszania aktywności gospodarczej w Polsce i Europie, dlatego Rada Nadzorcza będzie nadal ściśle współpracować z Zarządem w celu badania wpływu wspomnianych czynników ryzyka na sytuację Banku. Jednocześnie Rada Nadzorcza będzie monitorować rozwój sytuacji dotyczącej kredytów hipotecznych denominowanych w walutach obcych oraz jej wpływu na polski sektor bankowy.</w:t>
      </w: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autoSpaceDE w:val="0"/>
        <w:autoSpaceDN w:val="0"/>
        <w:adjustRightInd w:val="0"/>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Biorąc pod uwagę osiągnięte wyniki finansowe, bezpieczną pozycję Banku oraz stabilne wskaźniki kapitałowe i płynnościowe, a także konsekwentną i spójną strategię Banku, Rada Nadzorcza pozytywnie ocenia działalność Banku w 2020 roku. Jednocześnie Rada Nadzorcza wyraża przekonanie, iż podjęte i planowane działania przyczynią się do wzrostu wartości Banku dla Akcjonariuszy poprzez osiąganie optymalnych wyników finansowych i pozycji rynkowej Banku, pomimo wymagającego otoczenia rynkowego.</w:t>
      </w:r>
    </w:p>
    <w:p w:rsidR="005046EB" w:rsidRPr="005046EB" w:rsidRDefault="005046EB" w:rsidP="005046EB">
      <w:pPr>
        <w:autoSpaceDE w:val="0"/>
        <w:autoSpaceDN w:val="0"/>
        <w:adjustRightInd w:val="0"/>
        <w:spacing w:after="0" w:line="240" w:lineRule="auto"/>
        <w:ind w:left="426"/>
        <w:jc w:val="both"/>
        <w:rPr>
          <w:rFonts w:ascii="Arial" w:eastAsia="Times New Roman" w:hAnsi="Arial" w:cs="Arial"/>
          <w:sz w:val="20"/>
          <w:szCs w:val="20"/>
          <w:lang w:val="pl-PL"/>
        </w:rPr>
      </w:pPr>
    </w:p>
    <w:p w:rsidR="005046EB" w:rsidRPr="005046EB" w:rsidRDefault="005046EB" w:rsidP="005046EB">
      <w:pPr>
        <w:autoSpaceDE w:val="0"/>
        <w:autoSpaceDN w:val="0"/>
        <w:adjustRightInd w:val="0"/>
        <w:spacing w:after="0" w:line="240" w:lineRule="auto"/>
        <w:rPr>
          <w:rFonts w:ascii="Arial" w:eastAsia="Times New Roman" w:hAnsi="Arial" w:cs="Arial"/>
          <w:sz w:val="20"/>
          <w:szCs w:val="20"/>
          <w:lang w:val="pl-PL"/>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 xml:space="preserve">OCENA RACJONALNOŚCI PROWADZONEJ PRZEZ BANK POLITYKI W ZAKRESIE SPOŁECZNEJ ODPOWIEDZIALNOŚCI I DZIAŁALNOŚCI SPONSORINGOWEJ </w:t>
      </w:r>
    </w:p>
    <w:p w:rsidR="005046EB" w:rsidRPr="005046EB" w:rsidRDefault="005046EB" w:rsidP="005046EB">
      <w:pPr>
        <w:autoSpaceDE w:val="0"/>
        <w:autoSpaceDN w:val="0"/>
        <w:adjustRightInd w:val="0"/>
        <w:spacing w:after="0" w:line="240" w:lineRule="auto"/>
        <w:rPr>
          <w:rFonts w:ascii="Arial" w:eastAsia="Times New Roman" w:hAnsi="Arial" w:cs="Arial"/>
          <w:color w:val="auto"/>
          <w:sz w:val="20"/>
          <w:szCs w:val="20"/>
          <w:lang w:val="pl-PL"/>
        </w:rPr>
      </w:pPr>
    </w:p>
    <w:p w:rsidR="005046EB" w:rsidRPr="005046EB" w:rsidRDefault="005046EB" w:rsidP="005046EB">
      <w:pPr>
        <w:autoSpaceDE w:val="0"/>
        <w:autoSpaceDN w:val="0"/>
        <w:adjustRightInd w:val="0"/>
        <w:spacing w:after="0" w:line="240" w:lineRule="auto"/>
        <w:rPr>
          <w:rFonts w:ascii="Arial" w:eastAsia="Times New Roman" w:hAnsi="Arial" w:cs="Arial"/>
          <w:color w:val="auto"/>
          <w:sz w:val="20"/>
          <w:szCs w:val="20"/>
          <w:lang w:val="pl-PL"/>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Obszar odpowiedzialności społecznej Banku</w:t>
      </w:r>
    </w:p>
    <w:p w:rsidR="005046EB" w:rsidRPr="005046EB" w:rsidRDefault="005046EB" w:rsidP="005046EB">
      <w:pPr>
        <w:tabs>
          <w:tab w:val="left" w:pos="851"/>
        </w:tabs>
        <w:spacing w:after="0" w:line="240" w:lineRule="auto"/>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Bank jest instytucją, która od początku swojej ponad 150-letniej historii, w procesie podejmowania decyzji, uwzględnia aspekty społeczne i środowiskowe, a przy tym wsłuchuje się w oczekiwania swoich partnerów, zarówno biznesowych jak i społecznych. </w:t>
      </w: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r w:rsidRPr="005046EB">
        <w:rPr>
          <w:rFonts w:ascii="Arial" w:eastAsia="SimSun" w:hAnsi="Arial" w:cs="Arial"/>
          <w:color w:val="auto"/>
          <w:sz w:val="20"/>
          <w:szCs w:val="20"/>
          <w:lang w:val="pl-PL" w:eastAsia="zh-CN"/>
        </w:rPr>
        <w:t>Podmiotem, który kompleksowo realizuje strategię Społecznej Odpowiedzialności Banku, jest Fundacja Citi Handlowy im. Leopolda Kronenberga. W 2020 roku p</w:t>
      </w:r>
      <w:r w:rsidRPr="005046EB">
        <w:rPr>
          <w:rFonts w:ascii="Arial" w:eastAsia="SimSun" w:hAnsi="Arial" w:cs="Times New Roman"/>
          <w:color w:val="auto"/>
          <w:sz w:val="20"/>
          <w:szCs w:val="20"/>
          <w:lang w:val="pl-PL" w:eastAsia="zh-CN"/>
        </w:rPr>
        <w:t xml:space="preserve">rogram Fundacji został zrewidowany w odpowiedzi na wyzwania związane z pandemią  wirusa SARS-COV-2. Fundacja zrezygnowała z działań, które wymagały zaangażowania Zespołu oraz wolontariuszy w działania realizowane w świecie tzw. offline, zmieniła także akcenty w programach – eksponując te, które pomagają beneficjentom w odnalezieniu się w rzeczywistości pandemicznej. </w:t>
      </w: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 xml:space="preserve">Mając na uwadze nową sytuację, Fundacja zidentyfikowała kilka obszarów, w których widziała swoją rolę jako silnego partnera społecznego i były to obszary wsparcia: </w:t>
      </w: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p>
    <w:p w:rsidR="005046EB" w:rsidRPr="005046EB" w:rsidRDefault="005046EB" w:rsidP="00223F2E">
      <w:pPr>
        <w:numPr>
          <w:ilvl w:val="0"/>
          <w:numId w:val="16"/>
        </w:numPr>
        <w:tabs>
          <w:tab w:val="left" w:pos="851"/>
        </w:tabs>
        <w:spacing w:after="0" w:line="240" w:lineRule="auto"/>
        <w:ind w:left="851"/>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dla służb ratowniczych i służb ochrony zdrowia, które pozostają pierwszą linią frontu w walce z COVID-19; </w:t>
      </w:r>
    </w:p>
    <w:p w:rsidR="005046EB" w:rsidRPr="005046EB" w:rsidRDefault="005046EB" w:rsidP="00223F2E">
      <w:pPr>
        <w:numPr>
          <w:ilvl w:val="0"/>
          <w:numId w:val="16"/>
        </w:numPr>
        <w:tabs>
          <w:tab w:val="left" w:pos="851"/>
        </w:tabs>
        <w:spacing w:after="0" w:line="240" w:lineRule="auto"/>
        <w:ind w:left="851"/>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dla nauczycieli i uczniów, którzy stanęli przed wyzwaniem „zdalnej edukacji”, </w:t>
      </w:r>
    </w:p>
    <w:p w:rsidR="005046EB" w:rsidRPr="005046EB" w:rsidRDefault="005046EB" w:rsidP="00223F2E">
      <w:pPr>
        <w:numPr>
          <w:ilvl w:val="0"/>
          <w:numId w:val="16"/>
        </w:numPr>
        <w:tabs>
          <w:tab w:val="left" w:pos="851"/>
        </w:tabs>
        <w:spacing w:after="0" w:line="240" w:lineRule="auto"/>
        <w:ind w:left="851"/>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dla przedsiębiorców, ze szczególnym uwzględnieniem tych, którzy przez ostatnie lata uczestniczyli w programach akceleracyjnych Fundacji oraz programach współfinansowanych przez Fundację; </w:t>
      </w:r>
    </w:p>
    <w:p w:rsidR="005046EB" w:rsidRPr="005046EB" w:rsidRDefault="005046EB" w:rsidP="00223F2E">
      <w:pPr>
        <w:numPr>
          <w:ilvl w:val="0"/>
          <w:numId w:val="16"/>
        </w:numPr>
        <w:tabs>
          <w:tab w:val="left" w:pos="851"/>
        </w:tabs>
        <w:spacing w:after="0" w:line="240" w:lineRule="auto"/>
        <w:ind w:left="851"/>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dla partnerów społecznych w programie wolontariackim oraz przez program mikrograntów. </w:t>
      </w:r>
    </w:p>
    <w:p w:rsidR="005046EB" w:rsidRPr="005046EB" w:rsidRDefault="005046EB" w:rsidP="005046EB">
      <w:pPr>
        <w:spacing w:after="0" w:line="240" w:lineRule="auto"/>
        <w:ind w:left="426" w:firstLine="60"/>
        <w:textAlignment w:val="baseline"/>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Wsparcie dla służb medycznych zostało zrealizowane poprzez akcję #CisiBohaterowie uruchomioną we współpracy z wolontariuszami Citi w pierwszych dniach pandemii. W jej ramach ponad 8300 ciepłych posiłków dotarło do 350 ratowników z Warszawy i Olsztyna. Dodatkowo w celu zwiększenia efektywności zbiórki uruchomiono bramkę szybkich płatności, co zwiększyło zaangażowanie prywatnych uczestników inicjatywy i wspomogło realizację takich kampanii jak m.in. współpraca z partnerami biznesowymi (procent od transakcji walutowych przeznaczany na #CichychBohaterów).  W rezultacie w ramach akcji #CisiBohaterowie, we współpracy z Fundacją Wsparcia Ratownictwa Medycznego oraz Polskim Centrum Pomocy Międzynarodowej zostały zakupione: odzież ochronna dla szpitali, 2 mobilne respiratory, 7 przenośnych urządzeń USG i nowoczesny videolaryngoskop. </w:t>
      </w:r>
    </w:p>
    <w:p w:rsidR="005046EB" w:rsidRPr="005046EB" w:rsidRDefault="005046EB" w:rsidP="005046EB">
      <w:pPr>
        <w:spacing w:after="0" w:line="240" w:lineRule="auto"/>
        <w:ind w:left="426"/>
        <w:jc w:val="both"/>
        <w:textAlignment w:val="baseline"/>
        <w:rPr>
          <w:rFonts w:ascii="Arial" w:eastAsia="Times New Roman" w:hAnsi="Arial" w:cs="Arial"/>
          <w:color w:val="auto"/>
          <w:sz w:val="18"/>
          <w:szCs w:val="18"/>
          <w:lang w:val="pl-PL" w:eastAsia="pl-PL"/>
        </w:rPr>
      </w:pPr>
      <w:r w:rsidRPr="005046EB">
        <w:rPr>
          <w:rFonts w:ascii="Arial" w:eastAsia="Times New Roman" w:hAnsi="Arial" w:cs="Arial"/>
          <w:color w:val="auto"/>
          <w:lang w:val="pl-PL" w:eastAsia="pl-PL"/>
        </w:rPr>
        <w:t> </w:t>
      </w: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r w:rsidRPr="005046EB">
        <w:rPr>
          <w:rFonts w:ascii="Arial" w:eastAsia="SimSun" w:hAnsi="Arial" w:cs="Arial"/>
          <w:color w:val="auto"/>
          <w:sz w:val="20"/>
          <w:szCs w:val="20"/>
          <w:lang w:val="pl-PL" w:eastAsia="zh-CN"/>
        </w:rPr>
        <w:lastRenderedPageBreak/>
        <w:t xml:space="preserve">Odpowiadając na wyzwania związane z pandemią, Fundacja Citi Handlowy stworzyła i zrealizowała projekt CyberMocn@ Szkoła przeznaczony dla nauczycieli. Pandemia wyraźnie pokazała brak </w:t>
      </w:r>
      <w:r w:rsidRPr="005046EB">
        <w:rPr>
          <w:rFonts w:ascii="Arial" w:eastAsia="SimSun" w:hAnsi="Arial" w:cs="Arial"/>
          <w:sz w:val="20"/>
          <w:szCs w:val="20"/>
          <w:shd w:val="clear" w:color="auto" w:fill="FFFFFF"/>
          <w:lang w:val="pl-PL" w:eastAsia="zh-CN"/>
        </w:rPr>
        <w:t>wsparcia pedagogów w dostarczeniu im odpowiednich narzędzi, które mogliby wykorzystywać w codziennym wykonywaniu swoich obowiązków. Dodatkowo konieczność używania sprzętu komputerowego przez dzieci i młodzież do odbywania lekcji online, a co za tym idzie jeszcze częstsze ich przebywanie w świecie wirtualnym, ujawniło wiele zagrożeń i niebezpieczeństw, na które nie są one przygotowane. </w:t>
      </w:r>
      <w:r w:rsidRPr="005046EB">
        <w:rPr>
          <w:rFonts w:ascii="Arial" w:eastAsia="SimSun" w:hAnsi="Arial" w:cs="Arial"/>
          <w:color w:val="auto"/>
          <w:sz w:val="20"/>
          <w:szCs w:val="20"/>
          <w:lang w:val="pl-PL" w:eastAsia="zh-CN"/>
        </w:rPr>
        <w:t xml:space="preserve">W odpowiedzi na zdiagnozowane obszary, przygotowany został program skierowany do nauczycieli, który w założeniu miał wesprzeć pedagogów w codziennej pracy. W ramach wirtualnych zajęć przeszkolono prawie 600 nauczycieli. </w:t>
      </w: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r w:rsidRPr="005046EB">
        <w:rPr>
          <w:rFonts w:ascii="Arial" w:eastAsia="SimSun" w:hAnsi="Arial" w:cs="Arial"/>
          <w:color w:val="auto"/>
          <w:sz w:val="20"/>
          <w:szCs w:val="20"/>
          <w:lang w:val="pl-PL" w:eastAsia="zh-CN"/>
        </w:rPr>
        <w:t>Fundacja kontynuowała także działania z zakresu ochrony dziedzictwa narodowego. W 2020 roku przypadała okrągła, bo 150. rocznica powstania Banku Handlowego. Fundacja koordynowała  działania związane z obchodami tej rocznicy, z których większość została przeniesiona na rok 2021. Jednym z projektów, zrealizowanych w rocznicowym 2020. roku był jednak zielony pomnik  - #Las na Zawsze.  Chcąc zaakcentować ten jubileusz i pozostawić po nim coś trwałego z okazji 150-lecia Banku wspólnie z wolontariuszami oraz klientami posadzono  – pod Warszawą oraz pod Olsztynem – prawie 2 hektary lasu. Wykorzystano do tego sadzonki drzew liściastych i krzewów – gatunków rdzennych, które wspierają bioróżnorodność polskich lasów. </w:t>
      </w:r>
      <w:r w:rsidRPr="005046EB">
        <w:rPr>
          <w:rFonts w:ascii="Arial" w:eastAsia="SimSun" w:hAnsi="Arial" w:cs="Times New Roman"/>
          <w:color w:val="auto"/>
          <w:sz w:val="20"/>
          <w:szCs w:val="20"/>
          <w:lang w:val="pl-PL" w:eastAsia="zh-CN"/>
        </w:rPr>
        <w:t> </w:t>
      </w:r>
    </w:p>
    <w:p w:rsidR="005046EB" w:rsidRPr="005046EB" w:rsidRDefault="005046EB" w:rsidP="005046EB">
      <w:pPr>
        <w:spacing w:after="0" w:line="240" w:lineRule="auto"/>
        <w:ind w:left="426"/>
        <w:jc w:val="both"/>
        <w:rPr>
          <w:rFonts w:ascii="Arial" w:eastAsia="SimSun" w:hAnsi="Arial" w:cs="Times New Roman"/>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Działaniem w ramach 150-lecia Banku Handlowego, przeniesionym na rok 2021 jest publikacja jubileuszowego raportu – 150 lat wpływu Banku Handlowego na rozwój Polski. </w:t>
      </w: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2020 roku, jeszcze przed wybuchem pandemii w Polsce, przyznano Nagrodę  im. prof. Aleksandra Gieysztora. Trafiła ona do prof. Jerzego Limona, twórcy Teatru Szekspirowskiego w Gdańsku. Kolejna, XXII. edycja Nagrody, ze względu na sytuację epidemiologiczną, decyzją Kapituły została przełożona na rok 2021.</w:t>
      </w: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 ramach programu dotacji w  2020 roku włączając się w obchody 150-lecia Banku przyznano  dofinasowanie Muzeum Historii Żydów Polskich Polin na realizację projektu „Pragmatycy i wizjonerzy – polscy Żydzi  i ich dziedzictwo”. </w:t>
      </w: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textAlignment w:val="baseline"/>
        <w:rPr>
          <w:rFonts w:ascii="Times New Roman" w:eastAsia="SimSun" w:hAnsi="Times New Roman" w:cs="Times New Roman"/>
          <w:color w:val="auto"/>
          <w:sz w:val="24"/>
          <w:szCs w:val="24"/>
          <w:lang w:val="pl-PL" w:eastAsia="pl-PL"/>
        </w:rPr>
      </w:pPr>
      <w:r w:rsidRPr="005046EB">
        <w:rPr>
          <w:rFonts w:ascii="Arial" w:eastAsia="SimSun" w:hAnsi="Arial" w:cs="Arial"/>
          <w:color w:val="auto"/>
          <w:sz w:val="20"/>
          <w:szCs w:val="20"/>
          <w:lang w:val="pl-PL" w:eastAsia="zh-CN"/>
        </w:rPr>
        <w:t xml:space="preserve">Działania z zakresu przedsiębiorczości i edukacji ekonomicznej objęły w 2020 r. współpracę z partnerami społecznymi. Fundacja merytorycznie wspierała realizację projektów finansowanych ze środków Citi Foundation takich jak: Shesnnovation Academy dla wsparcia młodych naukowczyń w komercjalizacji ich pomysłów (Fundacja Edukacyjna „Perspektywy”), Hello Entrepreneurship wspierający migrantów w tworzeniu przedsiębiorstw społecznych </w:t>
      </w:r>
      <w:r w:rsidRPr="005046EB">
        <w:rPr>
          <w:rFonts w:ascii="Arial" w:eastAsia="SimSun" w:hAnsi="Arial" w:cs="Arial"/>
          <w:color w:val="auto"/>
          <w:sz w:val="20"/>
          <w:szCs w:val="20"/>
          <w:lang w:val="pl-PL" w:eastAsia="pl-PL"/>
        </w:rPr>
        <w:t xml:space="preserve">(Ashoka Polska), Biznes w kobiecych rękach dla wsparcia kobiet w tworzeniu własnych biznesów (Sieć Przedsiębiorczych Kobiet), program Rozwoju Przedsiębiorczości adresowanych do młodych ludzi zainteresowanych tworzeniem swojego biznesu (Fundacja THINK!). </w:t>
      </w: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pl-PL"/>
        </w:rPr>
      </w:pP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Wspierając przedsiębiorców Fundacja zorganizowała wspólnie z partnerami konferencję online „Firma Wirusoodporna”. Wzięło w niej udział prawie 1000 osób. Podczas kilkugodzinnego spotkania mieli oni możliwość wysłuchania rozmów z wysokiej klasy ekspertami i praktykami w zakresie: rozwoju e-commerce, zarządzania zespołami rozproszonymi i kreatywnymi oraz budowania relacji z klientami w świecie wirtualnym. Podczas konferencji przedstawiono zwycięzców Mikroprzedsiębiorcy Roku 2019. Tytuł ten otrzymała firma SVEP + producent pneumatycznych masztów oświetleniowych wykorzystywanych dla ratowania ludzkiego życia – głównie w pojazdach służb ratowniczych oraz w trakcie zdarzeń losowych. Podczas wydarzenia zostały również przedstawione finalistki konkursu Biznes w Kobiecych Rękach. </w:t>
      </w: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pl-PL"/>
        </w:rPr>
      </w:pP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pl-PL"/>
        </w:rPr>
        <w:t xml:space="preserve">W 2020 roku Fundacja z powodzeniem realizowała Program wolontariatu Pracowniczego. </w:t>
      </w:r>
      <w:r w:rsidRPr="005046EB">
        <w:rPr>
          <w:rFonts w:ascii="Arial" w:eastAsia="SimSun" w:hAnsi="Arial" w:cs="Arial"/>
          <w:color w:val="auto"/>
          <w:sz w:val="20"/>
          <w:szCs w:val="20"/>
          <w:lang w:val="pl-PL" w:eastAsia="zh-CN"/>
        </w:rPr>
        <w:t>Podczas Światowego Dnia Citi dla Społeczności, który w tym roku przybrał wyjątkową formę 6 miesięcznej kampanii, w Polsce zaangażowało się ponad 1700 wolontariuszy.  To wynik najlepszy spośród wszystkich krajów Europy Środkowo-Wschodniej oraz Afryki w ramach Citi. Fundacji udało się zaangażować pracowników Citi do działań w ramach wolontariatu wirtualnego (np. korepetycje online dla dzieci, nauka programowania dla uczniów), jak i działań  w nowych formatach typu wspólne zbiórki pieniężne oraz rzeczowe, przygotowywanie paczek  dla potrzebujących, sadzenie roślin. Wolontariusze m.in.: uszyli 1000 maseczek dla seniorów i kombatantów, dostarczyli blisko 1000 paczek dla seniorów w domach opieki społecznej, przygotowali do użycia i przekazali ponad 100 komputerów. Fundacja realizację tych inicjatyw wspierała finansowo przez mikrogranty, ale także logistycznie – pomagając wolontariuszom w realizacji projektów w warunkach zaostrzonego reżimu sanitarnego. </w:t>
      </w:r>
    </w:p>
    <w:p w:rsidR="005046EB" w:rsidRPr="005046EB" w:rsidRDefault="005046EB" w:rsidP="005046EB">
      <w:pPr>
        <w:spacing w:after="0" w:line="240" w:lineRule="auto"/>
        <w:ind w:left="426"/>
        <w:jc w:val="both"/>
        <w:textAlignment w:val="baseline"/>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textAlignment w:val="baseline"/>
        <w:rPr>
          <w:rFonts w:ascii="Arial" w:eastAsia="Times New Roman" w:hAnsi="Arial" w:cs="Arial"/>
          <w:color w:val="auto"/>
          <w:sz w:val="20"/>
          <w:szCs w:val="20"/>
          <w:lang w:val="pl-PL" w:eastAsia="zh-CN"/>
        </w:rPr>
      </w:pPr>
      <w:r w:rsidRPr="005046EB">
        <w:rPr>
          <w:rFonts w:ascii="Arial" w:eastAsia="Times New Roman" w:hAnsi="Arial" w:cs="Arial"/>
          <w:color w:val="auto"/>
          <w:sz w:val="20"/>
          <w:szCs w:val="20"/>
          <w:lang w:val="pl-PL" w:eastAsia="zh-CN"/>
        </w:rPr>
        <w:t xml:space="preserve">70 wolontariuszy Citi zaangażowało się w długotrwały mentoring realizowany w programach IT for SHE (wspieranie młodych kobiet, studentek IT na Rynku Pracy), Women in Tech Summit 2020 (największe tego typu wydarzenie w Europie Środkowej, w tym roku ponad 8300 uczestników, zrealizowany całkowicie online) oraz projekty prowadzone przez Citi Foundation i partnerów społecznych. </w:t>
      </w: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Pełny opis realizowanych działań znajduje się w Sprawozdaniu Rocznym Banku oraz jest dostępny na stronie </w:t>
      </w:r>
      <w:hyperlink r:id="rId10" w:history="1">
        <w:r w:rsidRPr="005046EB">
          <w:rPr>
            <w:rFonts w:ascii="Arial" w:eastAsia="SimSun" w:hAnsi="Arial" w:cs="Arial"/>
            <w:color w:val="0000FF"/>
            <w:sz w:val="20"/>
            <w:szCs w:val="20"/>
            <w:u w:val="single"/>
            <w:lang w:val="pl-PL" w:eastAsia="zh-CN"/>
          </w:rPr>
          <w:t>www.kronenberg.org.pl</w:t>
        </w:r>
      </w:hyperlink>
      <w:r w:rsidRPr="005046EB">
        <w:rPr>
          <w:rFonts w:ascii="Arial" w:eastAsia="SimSun" w:hAnsi="Arial" w:cs="Arial"/>
          <w:color w:val="auto"/>
          <w:sz w:val="20"/>
          <w:szCs w:val="20"/>
          <w:lang w:val="pl-PL" w:eastAsia="zh-CN"/>
        </w:rPr>
        <w:t xml:space="preserve"> </w:t>
      </w:r>
    </w:p>
    <w:p w:rsidR="005046EB" w:rsidRPr="005046EB" w:rsidRDefault="005046EB" w:rsidP="005046EB">
      <w:pPr>
        <w:spacing w:after="0" w:line="240" w:lineRule="auto"/>
        <w:ind w:left="851"/>
        <w:jc w:val="both"/>
        <w:rPr>
          <w:rFonts w:ascii="Arial" w:eastAsia="SimSun" w:hAnsi="Arial" w:cs="Arial"/>
          <w:color w:val="FF0000"/>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bookmarkStart w:id="1" w:name="_Toc414527059"/>
      <w:bookmarkStart w:id="2" w:name="_Toc380756117"/>
      <w:r w:rsidRPr="005046EB">
        <w:rPr>
          <w:rFonts w:ascii="Arial" w:eastAsia="SimSun" w:hAnsi="Arial" w:cs="Arial"/>
          <w:color w:val="auto"/>
          <w:sz w:val="20"/>
          <w:szCs w:val="20"/>
          <w:lang w:val="pl-PL" w:eastAsia="zh-CN"/>
        </w:rPr>
        <w:t>Działalność sponsoring</w:t>
      </w:r>
      <w:bookmarkEnd w:id="1"/>
      <w:bookmarkEnd w:id="2"/>
      <w:r w:rsidRPr="005046EB">
        <w:rPr>
          <w:rFonts w:ascii="Arial" w:eastAsia="SimSun" w:hAnsi="Arial" w:cs="Arial"/>
          <w:color w:val="auto"/>
          <w:sz w:val="20"/>
          <w:szCs w:val="20"/>
          <w:lang w:val="pl-PL" w:eastAsia="zh-CN"/>
        </w:rPr>
        <w:t xml:space="preserve">owa  </w:t>
      </w:r>
    </w:p>
    <w:p w:rsidR="005046EB" w:rsidRPr="005046EB" w:rsidRDefault="005046EB" w:rsidP="005046EB">
      <w:pPr>
        <w:tabs>
          <w:tab w:val="left" w:pos="851"/>
        </w:tabs>
        <w:spacing w:after="0" w:line="240" w:lineRule="auto"/>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Z powodu pandemii działalność sponsoringowa została ograniczona, zaś uwaga Banku w tym bezprecedensowym okresie skupiła się na jak najlepszym wypełnianiu społecznej roli biznesu. Większość wydarzeń oraz konferencji, w których Citi Handlowy planował wziąć udział lub które wspierał w latach poprzednich w ramach działalności sponsoringowej, zostało odwołanych lub przełożonych. Część z tych wydarzeń przybrała formę on-line. W takiej formie Bank kontynuował współpracę z Europejskim Kongresem Finansowym – przedstawiciele Banku brali udział w debatach organizowanych przez Gdańską Akademię Bankową debatach Europejskiego Kongresu Finansowego oraz Klubu Odpowiedzialnych Finansów, którego Bank jest jednym z członków założycieli.</w:t>
      </w: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Poprzedni rok był drugim z kolei, kiedy Citi Handlowy był partnerem Polskiego Komitetu Paraolimpijskiego. Wpisuje się tym w globalną inicjatywę Citi wspierającą ruch paraolimpijski i dążenie do zmiany społecznego postrzegania niepełnosprawności. Bank Handlowy wspiera także w ramach globalnego projektu dwoje wybitnych sportowców – Natalię Partykę, czterokrotną mistrzynię paraolimpijską w tenisie stołowym, oraz Macieja Lepiatę, dwukrotnego mistrza paraolimpijskiego i czterokrotnego mistrza świata osób niepełnosprawnych w skoku wzwyż.</w:t>
      </w:r>
    </w:p>
    <w:p w:rsidR="005046EB" w:rsidRPr="005046EB" w:rsidRDefault="005046EB" w:rsidP="005046EB">
      <w:pPr>
        <w:spacing w:after="0" w:line="240" w:lineRule="auto"/>
        <w:ind w:left="426"/>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Aby wspierać zmianę społecznego postrzegania niepełnosprawności, Citi Handlowy uczestniczył również w biegu Poland Business Run 2020. Citi w Polsce wraz z pracownikami angażuje się w to charytatywne wydarzenie od jego pierwszej edycji w 2014 roku. Zeszłoroczny bieg miał na celu wsparcie osób po amputacjach kończyn. Mimo wirtualnej formuły wzięło w nim udział 6 drużyn Banku, do których dołączyli mistrzowie paraolimpijscy Natalia Partyka i Maciej Lepiato.</w:t>
      </w:r>
    </w:p>
    <w:p w:rsidR="005046EB" w:rsidRPr="005046EB" w:rsidRDefault="005046EB" w:rsidP="005046EB">
      <w:pPr>
        <w:autoSpaceDE w:val="0"/>
        <w:autoSpaceDN w:val="0"/>
        <w:adjustRightInd w:val="0"/>
        <w:spacing w:after="0" w:line="240" w:lineRule="auto"/>
        <w:rPr>
          <w:rFonts w:ascii="Arial" w:eastAsia="Times New Roman" w:hAnsi="Arial" w:cs="Arial"/>
          <w:sz w:val="20"/>
          <w:szCs w:val="20"/>
          <w:lang w:val="pl-PL"/>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SPRAWOZDANE O WYNAGRODZENIACH CZŁONKOW ZARZĄDU I CZŁONKOW RADY NADZORCZCEJ BANKU HANDLOWEGO W WARSZAWIE S.A.</w:t>
      </w:r>
    </w:p>
    <w:p w:rsidR="005046EB" w:rsidRPr="005046EB" w:rsidRDefault="005046EB" w:rsidP="005046EB">
      <w:pPr>
        <w:spacing w:after="0" w:line="240" w:lineRule="auto"/>
        <w:jc w:val="both"/>
        <w:rPr>
          <w:rFonts w:ascii="Arial" w:eastAsia="SimSun" w:hAnsi="Arial" w:cs="Arial"/>
          <w:b/>
          <w:bCs/>
          <w:color w:val="FF0000"/>
          <w:sz w:val="20"/>
          <w:szCs w:val="20"/>
          <w:lang w:val="pl-PL" w:eastAsia="zh-CN"/>
        </w:rPr>
      </w:pPr>
    </w:p>
    <w:p w:rsidR="005046EB" w:rsidRPr="005046EB" w:rsidRDefault="005046EB" w:rsidP="005046EB">
      <w:pPr>
        <w:spacing w:after="120" w:line="288" w:lineRule="auto"/>
        <w:jc w:val="both"/>
        <w:rPr>
          <w:rFonts w:ascii="Arial" w:eastAsia="SimSun" w:hAnsi="Arial" w:cs="Times New Roman"/>
          <w:iCs/>
          <w:color w:val="auto"/>
          <w:sz w:val="20"/>
          <w:szCs w:val="24"/>
          <w:lang w:val="pl-PL" w:eastAsia="zh-CN"/>
        </w:rPr>
      </w:pPr>
      <w:r w:rsidRPr="005046EB">
        <w:rPr>
          <w:rFonts w:ascii="Arial" w:eastAsia="SimSun" w:hAnsi="Arial" w:cs="Times New Roman"/>
          <w:iCs/>
          <w:color w:val="auto"/>
          <w:sz w:val="20"/>
          <w:szCs w:val="24"/>
          <w:lang w:val="pl-PL" w:eastAsia="zh-CN"/>
        </w:rPr>
        <w:t xml:space="preserve">Zobowiązanie Rady Nadzorczej Banku Handlowego w Warszawie S.A. do sporządzenia sprawozdania o wynagrodzeniach </w:t>
      </w:r>
      <w:r w:rsidRPr="005046EB">
        <w:rPr>
          <w:rFonts w:ascii="Arial" w:eastAsia="SimSun" w:hAnsi="Arial" w:cs="Times New Roman"/>
          <w:color w:val="auto"/>
          <w:sz w:val="20"/>
          <w:szCs w:val="24"/>
          <w:lang w:val="pl-PL" w:eastAsia="zh-CN"/>
        </w:rPr>
        <w:t xml:space="preserve">członków Zarządu i członków Rady Nadzorczej Banku </w:t>
      </w:r>
      <w:r w:rsidRPr="005046EB">
        <w:rPr>
          <w:rFonts w:ascii="Arial" w:eastAsia="SimSun" w:hAnsi="Arial" w:cs="Times New Roman"/>
          <w:iCs/>
          <w:color w:val="auto"/>
          <w:sz w:val="20"/>
          <w:szCs w:val="24"/>
          <w:lang w:val="pl-PL" w:eastAsia="zh-CN"/>
        </w:rPr>
        <w:t>wynika z </w:t>
      </w:r>
      <w:r w:rsidRPr="005046EB">
        <w:rPr>
          <w:rFonts w:ascii="Arial" w:eastAsia="SimSun" w:hAnsi="Arial" w:cs="Times New Roman"/>
          <w:color w:val="auto"/>
          <w:sz w:val="20"/>
          <w:szCs w:val="24"/>
          <w:lang w:val="pl-PL" w:eastAsia="zh-CN"/>
        </w:rPr>
        <w:t xml:space="preserve">Art. 90g. </w:t>
      </w:r>
      <w:r w:rsidRPr="005046EB">
        <w:rPr>
          <w:rFonts w:ascii="Arial" w:eastAsia="SimSun" w:hAnsi="Arial" w:cs="Times New Roman"/>
          <w:iCs/>
          <w:color w:val="auto"/>
          <w:sz w:val="20"/>
          <w:szCs w:val="24"/>
          <w:lang w:val="pl-PL" w:eastAsia="zh-CN"/>
        </w:rPr>
        <w:t xml:space="preserve">ustęp 1 Ustawy z dnia 29 lipca 2005 r. o ofercie publicznej i warunkach wprowadzania instrumentów finansowych do zorganizowanego systemu obrotu oraz </w:t>
      </w:r>
      <w:r w:rsidRPr="005046EB">
        <w:rPr>
          <w:rFonts w:ascii="Arial" w:eastAsia="SimSun" w:hAnsi="Arial" w:cs="Times New Roman"/>
          <w:color w:val="auto"/>
          <w:sz w:val="20"/>
          <w:szCs w:val="24"/>
          <w:lang w:val="pl-PL" w:eastAsia="zh-CN"/>
        </w:rPr>
        <w:t>o spółkach publicznych („Ustawa”)</w:t>
      </w:r>
      <w:r w:rsidRPr="005046EB">
        <w:rPr>
          <w:rFonts w:ascii="Arial" w:eastAsia="SimSun" w:hAnsi="Arial" w:cs="Times New Roman"/>
          <w:iCs/>
          <w:color w:val="auto"/>
          <w:sz w:val="20"/>
          <w:szCs w:val="24"/>
          <w:lang w:val="pl-PL" w:eastAsia="zh-CN"/>
        </w:rPr>
        <w:t>.</w:t>
      </w:r>
    </w:p>
    <w:p w:rsidR="005046EB" w:rsidRPr="005046EB" w:rsidRDefault="005046EB" w:rsidP="005046EB">
      <w:pPr>
        <w:spacing w:after="120" w:line="288" w:lineRule="auto"/>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Zasady wynagradzania członków Zarządu i członków Rady Nadzorczej Banku określa Polityka wynagrodzeń członków Zarządu i członków Rady Nadzorczej Banku Handlowego w Warszawie S.A. („Polityka”) przyjęta w drodze Uchwały Walnego Zgromadzenia Banku z  dnia 4 czerwca 2020 roku. Polityka ta wdraża postanowienia dotyczące kształtowania zasad wynagradzania zawarte w Ustawie.</w:t>
      </w:r>
    </w:p>
    <w:p w:rsidR="005046EB" w:rsidRPr="005046EB" w:rsidRDefault="005046EB" w:rsidP="005046EB">
      <w:pPr>
        <w:spacing w:after="120" w:line="288" w:lineRule="auto"/>
        <w:jc w:val="both"/>
        <w:rPr>
          <w:rFonts w:ascii="Arial" w:eastAsia="SimSun" w:hAnsi="Arial" w:cs="Times New Roman"/>
          <w:color w:val="auto"/>
          <w:sz w:val="20"/>
          <w:szCs w:val="24"/>
          <w:lang w:val="pl-PL" w:eastAsia="zh-CN"/>
        </w:rPr>
      </w:pPr>
      <w:r w:rsidRPr="005046EB">
        <w:rPr>
          <w:rFonts w:ascii="Arial" w:eastAsia="SimSun" w:hAnsi="Arial" w:cs="Times New Roman"/>
          <w:iCs/>
          <w:color w:val="auto"/>
          <w:sz w:val="20"/>
          <w:szCs w:val="24"/>
          <w:lang w:val="pl-PL" w:eastAsia="zh-CN"/>
        </w:rPr>
        <w:t xml:space="preserve">Niniejsze sprawozdanie przedstawia </w:t>
      </w:r>
      <w:r w:rsidRPr="005046EB">
        <w:rPr>
          <w:rFonts w:ascii="Arial" w:eastAsia="SimSun" w:hAnsi="Arial" w:cs="Times New Roman"/>
          <w:color w:val="auto"/>
          <w:sz w:val="20"/>
          <w:szCs w:val="24"/>
          <w:lang w:val="pl-PL" w:eastAsia="zh-CN"/>
        </w:rPr>
        <w:t xml:space="preserve">kompleksowy przegląd wynagrodzeń, w tym wszystkich świadczeń, niezależnie od ich formy, otrzymanych przez poszczególnych członków Zarządu i członków  Rady Nadzorczej Banku lub należnych poszczególnym członkom Zarządu i członkom Rady Nadzorczej Banku i obejmuje lata 2019 i 2020. Należy zwrócić uwagę, że w niniejszym sprawozdaniu przedstawiono wynagrodzenia w różnych ujęciach (tj. wypłacone w danym roku bądź przyznane w danym roku), zależnie od wymogów Ustawy. W szczególności wynagrodzenia  wypłacone w latach 2019 i 2020 mogły zostać przyznane w latach poprzedzających rok wypłaty. Z kolei wynagrodzenia przyznane w latach 2019 i 2020 mogły podlegać częściowemu odroczeniu, tzn. będą mogły zostać wypłacone w przyszłych okresach sprawozdawczych.  </w:t>
      </w:r>
    </w:p>
    <w:p w:rsidR="005046EB" w:rsidRPr="005046EB" w:rsidRDefault="005046EB" w:rsidP="005046EB">
      <w:pPr>
        <w:spacing w:after="120" w:line="288" w:lineRule="auto"/>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Jest to pierwsze sprawozdanie o wynagrodzeniach sporządzone na podstawie wymogów Ustawy i w związku z tym nie zostały dotychczas podjęte przez Walne Zgromadzenia Banku uchwały opiniujące sprawozdanie o wynagrodzeniach o charakterze doradczym, które mogłyby zostać uwzględnione w niniejszym sprawozdaniu.</w:t>
      </w:r>
    </w:p>
    <w:p w:rsidR="005046EB" w:rsidRPr="005046EB" w:rsidRDefault="005046EB" w:rsidP="005046EB">
      <w:pPr>
        <w:spacing w:line="256" w:lineRule="auto"/>
        <w:rPr>
          <w:rFonts w:ascii="Arial" w:eastAsia="SimSun" w:hAnsi="Arial" w:cs="Times New Roman"/>
          <w:color w:val="auto"/>
          <w:sz w:val="20"/>
          <w:szCs w:val="24"/>
          <w:lang w:val="pl-PL" w:eastAsia="en-GB"/>
        </w:rPr>
      </w:pPr>
      <w:r w:rsidRPr="005046EB">
        <w:rPr>
          <w:rFonts w:ascii="Arial" w:eastAsia="SimSun" w:hAnsi="Arial" w:cs="Times New Roman"/>
          <w:color w:val="auto"/>
          <w:sz w:val="20"/>
          <w:szCs w:val="24"/>
          <w:lang w:val="pl-PL" w:eastAsia="zh-CN"/>
        </w:rPr>
        <w:br w:type="page"/>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lastRenderedPageBreak/>
        <w:t>Wysokość całkowitego wynagrodzenia członków Zarządu i członków Rady Nadzorczej Banku w podziale na składniki oraz wzajemne proporcje między tymi składnikami</w:t>
      </w:r>
    </w:p>
    <w:p w:rsidR="005046EB" w:rsidRPr="005046EB" w:rsidRDefault="005046EB" w:rsidP="005046EB">
      <w:pPr>
        <w:spacing w:after="120" w:line="288" w:lineRule="auto"/>
        <w:ind w:left="851" w:right="142"/>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poniższej tabeli przedstawiono wysokość stałych składników wynagrodzenia (w tys. PLN) wypłaconych w 2019 roku członkom Zarządu Banku oraz udział tych składników w wynagrodzeniu całkowitym (wyrażony jako %).</w:t>
      </w:r>
    </w:p>
    <w:tbl>
      <w:tblPr>
        <w:tblW w:w="5000" w:type="pct"/>
        <w:tblLook w:val="04A0" w:firstRow="1" w:lastRow="0" w:firstColumn="1" w:lastColumn="0" w:noHBand="0" w:noVBand="1"/>
      </w:tblPr>
      <w:tblGrid>
        <w:gridCol w:w="2127"/>
        <w:gridCol w:w="1558"/>
        <w:gridCol w:w="1524"/>
        <w:gridCol w:w="1524"/>
        <w:gridCol w:w="1524"/>
        <w:gridCol w:w="1522"/>
      </w:tblGrid>
      <w:tr w:rsidR="005046EB" w:rsidRPr="005046EB" w:rsidTr="005046EB">
        <w:trPr>
          <w:trHeight w:val="283"/>
        </w:trPr>
        <w:tc>
          <w:tcPr>
            <w:tcW w:w="1884" w:type="pct"/>
            <w:gridSpan w:val="2"/>
            <w:vMerge w:val="restart"/>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1558" w:type="pct"/>
            <w:gridSpan w:val="2"/>
            <w:tcBorders>
              <w:top w:val="double" w:sz="4" w:space="0" w:color="4472C4"/>
              <w:left w:val="nil"/>
              <w:bottom w:val="single" w:sz="8"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Wynagrodzenie zasadnicze</w:t>
            </w:r>
          </w:p>
        </w:tc>
        <w:tc>
          <w:tcPr>
            <w:tcW w:w="1557" w:type="pct"/>
            <w:gridSpan w:val="2"/>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Inne świadczenia</w:t>
            </w:r>
          </w:p>
        </w:tc>
      </w:tr>
      <w:tr w:rsidR="005046EB" w:rsidRPr="005046EB" w:rsidTr="005046EB">
        <w:trPr>
          <w:trHeight w:val="283"/>
        </w:trPr>
        <w:tc>
          <w:tcPr>
            <w:tcW w:w="0" w:type="auto"/>
            <w:gridSpan w:val="2"/>
            <w:vMerge/>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779" w:type="pct"/>
            <w:tcBorders>
              <w:top w:val="single" w:sz="8" w:space="0" w:color="4472C4"/>
              <w:left w:val="nil"/>
              <w:bottom w:val="single" w:sz="8" w:space="0" w:color="4472C4"/>
              <w:right w:val="nil"/>
            </w:tcBorders>
            <w:noWrap/>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779" w:type="pct"/>
            <w:tcBorders>
              <w:top w:val="single" w:sz="8" w:space="0" w:color="4472C4"/>
              <w:left w:val="nil"/>
              <w:bottom w:val="single" w:sz="8" w:space="0" w:color="4472C4"/>
              <w:right w:val="nil"/>
            </w:tcBorders>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779" w:type="pct"/>
            <w:tcBorders>
              <w:top w:val="single" w:sz="8" w:space="0" w:color="4472C4"/>
              <w:left w:val="nil"/>
              <w:bottom w:val="single" w:sz="8" w:space="0" w:color="4472C4"/>
              <w:right w:val="nil"/>
            </w:tcBorders>
            <w:noWrap/>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778" w:type="pct"/>
            <w:tcBorders>
              <w:top w:val="single" w:sz="8" w:space="0" w:color="4472C4"/>
              <w:left w:val="nil"/>
              <w:bottom w:val="single" w:sz="8" w:space="0" w:color="4472C4"/>
              <w:right w:val="nil"/>
            </w:tcBorders>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3"/>
        </w:trPr>
        <w:tc>
          <w:tcPr>
            <w:tcW w:w="108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Sławomir S. Sikora</w:t>
            </w:r>
          </w:p>
        </w:tc>
        <w:tc>
          <w:tcPr>
            <w:tcW w:w="797"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79" w:type="pct"/>
            <w:tcBorders>
              <w:top w:val="single" w:sz="8" w:space="0" w:color="4472C4"/>
              <w:left w:val="nil"/>
              <w:bottom w:val="nil"/>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2 391</w:t>
            </w:r>
          </w:p>
        </w:tc>
        <w:tc>
          <w:tcPr>
            <w:tcW w:w="779" w:type="pct"/>
            <w:tcBorders>
              <w:top w:val="single" w:sz="8" w:space="0" w:color="4472C4"/>
              <w:left w:val="nil"/>
              <w:bottom w:val="nil"/>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46%</w:t>
            </w:r>
          </w:p>
        </w:tc>
        <w:tc>
          <w:tcPr>
            <w:tcW w:w="779" w:type="pct"/>
            <w:tcBorders>
              <w:top w:val="single" w:sz="8" w:space="0" w:color="4472C4"/>
              <w:left w:val="nil"/>
              <w:bottom w:val="nil"/>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363</w:t>
            </w:r>
          </w:p>
        </w:tc>
        <w:tc>
          <w:tcPr>
            <w:tcW w:w="778" w:type="pct"/>
            <w:tcBorders>
              <w:top w:val="single" w:sz="8" w:space="0" w:color="4472C4"/>
              <w:left w:val="nil"/>
              <w:bottom w:val="nil"/>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xml:space="preserve">Maciej Kropidłowski </w:t>
            </w:r>
          </w:p>
        </w:tc>
        <w:tc>
          <w:tcPr>
            <w:tcW w:w="797"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1 733</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41%</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279</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David Mouillé</w:t>
            </w:r>
          </w:p>
        </w:tc>
        <w:tc>
          <w:tcPr>
            <w:tcW w:w="797"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1 444</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40%</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554</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15%</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Sobala</w:t>
            </w:r>
          </w:p>
        </w:tc>
        <w:tc>
          <w:tcPr>
            <w:tcW w:w="797"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867</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59%</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106</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James Foley</w:t>
            </w:r>
          </w:p>
        </w:tc>
        <w:tc>
          <w:tcPr>
            <w:tcW w:w="797"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od 01.02.2019</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1 018</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75%</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341</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25%</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Katarzyna Majewska</w:t>
            </w:r>
          </w:p>
        </w:tc>
        <w:tc>
          <w:tcPr>
            <w:tcW w:w="797"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852</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61%</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104</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Natalia Bożek</w:t>
            </w:r>
          </w:p>
        </w:tc>
        <w:tc>
          <w:tcPr>
            <w:tcW w:w="797"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867</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74%</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89</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w:t>
            </w:r>
          </w:p>
        </w:tc>
      </w:tr>
      <w:tr w:rsidR="005046EB" w:rsidRPr="005046EB" w:rsidTr="005046EB">
        <w:trPr>
          <w:trHeight w:val="283"/>
        </w:trPr>
        <w:tc>
          <w:tcPr>
            <w:tcW w:w="1088" w:type="pct"/>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Zarządu</w:t>
            </w:r>
          </w:p>
        </w:tc>
        <w:tc>
          <w:tcPr>
            <w:tcW w:w="797" w:type="pct"/>
            <w:shd w:val="clear" w:color="auto" w:fill="E7E6E6"/>
            <w:noWrap/>
            <w:vAlign w:val="center"/>
          </w:tcPr>
          <w:p w:rsidR="005046EB" w:rsidRPr="005046EB" w:rsidRDefault="005046EB" w:rsidP="005046EB">
            <w:pPr>
              <w:spacing w:after="0" w:line="240" w:lineRule="auto"/>
              <w:rPr>
                <w:rFonts w:ascii="Arial" w:eastAsia="SimSun" w:hAnsi="Arial" w:cs="Times New Roman"/>
                <w:color w:val="auto"/>
                <w:sz w:val="17"/>
                <w:szCs w:val="17"/>
                <w:lang w:val="pl-PL" w:eastAsia="zh-CN"/>
              </w:rPr>
            </w:pPr>
          </w:p>
        </w:tc>
        <w:tc>
          <w:tcPr>
            <w:tcW w:w="779" w:type="pct"/>
            <w:shd w:val="clear" w:color="auto" w:fill="E7E6E6"/>
            <w:noWrap/>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779" w:type="pct"/>
            <w:shd w:val="clear" w:color="auto" w:fill="E7E6E6"/>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779" w:type="pct"/>
            <w:shd w:val="clear" w:color="auto" w:fill="E7E6E6"/>
            <w:noWrap/>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778" w:type="pct"/>
            <w:shd w:val="clear" w:color="auto" w:fill="E7E6E6"/>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Czesław Piasek</w:t>
            </w:r>
          </w:p>
        </w:tc>
        <w:tc>
          <w:tcPr>
            <w:tcW w:w="797"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31.03.2018</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25</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Witold Zieliński</w:t>
            </w:r>
          </w:p>
        </w:tc>
        <w:tc>
          <w:tcPr>
            <w:tcW w:w="797"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19.02.2018</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151</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32%</w:t>
            </w:r>
          </w:p>
        </w:tc>
      </w:tr>
      <w:tr w:rsidR="005046EB" w:rsidRPr="005046EB" w:rsidTr="005046EB">
        <w:trPr>
          <w:trHeight w:val="283"/>
        </w:trPr>
        <w:tc>
          <w:tcPr>
            <w:tcW w:w="1088"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Iwona Dudzińska</w:t>
            </w:r>
          </w:p>
        </w:tc>
        <w:tc>
          <w:tcPr>
            <w:tcW w:w="797"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31.07.2015</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7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79"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w:t>
            </w:r>
          </w:p>
        </w:tc>
        <w:tc>
          <w:tcPr>
            <w:tcW w:w="778"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88"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
                <w:bCs/>
                <w:color w:val="auto"/>
                <w:sz w:val="17"/>
                <w:szCs w:val="17"/>
                <w:lang w:val="pl-PL"/>
              </w:rPr>
            </w:pPr>
          </w:p>
        </w:tc>
        <w:tc>
          <w:tcPr>
            <w:tcW w:w="797"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
                <w:bCs/>
                <w:color w:val="auto"/>
                <w:sz w:val="17"/>
                <w:szCs w:val="17"/>
                <w:lang w:val="pl-PL"/>
              </w:rPr>
            </w:pPr>
          </w:p>
        </w:tc>
        <w:tc>
          <w:tcPr>
            <w:tcW w:w="779" w:type="pct"/>
            <w:tcBorders>
              <w:top w:val="single" w:sz="8" w:space="0" w:color="4472C4"/>
              <w:left w:val="nil"/>
              <w:bottom w:val="double" w:sz="4" w:space="0" w:color="4472C4"/>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9 172</w:t>
            </w:r>
          </w:p>
        </w:tc>
        <w:tc>
          <w:tcPr>
            <w:tcW w:w="779" w:type="pct"/>
            <w:tcBorders>
              <w:top w:val="single" w:sz="8" w:space="0" w:color="4472C4"/>
              <w:left w:val="nil"/>
              <w:bottom w:val="double" w:sz="4"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47%</w:t>
            </w:r>
          </w:p>
        </w:tc>
        <w:tc>
          <w:tcPr>
            <w:tcW w:w="779" w:type="pct"/>
            <w:tcBorders>
              <w:top w:val="single" w:sz="8" w:space="0" w:color="4472C4"/>
              <w:left w:val="nil"/>
              <w:bottom w:val="double" w:sz="4" w:space="0" w:color="4472C4"/>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2 017</w:t>
            </w:r>
          </w:p>
        </w:tc>
        <w:tc>
          <w:tcPr>
            <w:tcW w:w="778" w:type="pct"/>
            <w:tcBorders>
              <w:top w:val="single" w:sz="8" w:space="0" w:color="4472C4"/>
              <w:left w:val="nil"/>
              <w:bottom w:val="double" w:sz="4"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10%</w:t>
            </w:r>
          </w:p>
        </w:tc>
      </w:tr>
    </w:tbl>
    <w:p w:rsidR="005046EB" w:rsidRPr="005046EB" w:rsidRDefault="005046EB" w:rsidP="005046EB">
      <w:pPr>
        <w:spacing w:before="240" w:after="120" w:line="288" w:lineRule="auto"/>
        <w:ind w:right="142"/>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poniższej tabeli przedstawiono wysokość zmiennych składników wynagrodzenia w formie nagród pieniężnych (w tys. PLN) wypłaconych w 2019 roku członkom Zarządu Banku oraz udział tych składników w wynagrodzeniu całkowitym (wyrażony jako %).</w:t>
      </w:r>
    </w:p>
    <w:tbl>
      <w:tblPr>
        <w:tblW w:w="5000" w:type="pct"/>
        <w:tblBorders>
          <w:top w:val="double" w:sz="4" w:space="0" w:color="4472C4"/>
          <w:bottom w:val="double" w:sz="4" w:space="0" w:color="4472C4"/>
        </w:tblBorders>
        <w:tblLook w:val="04A0" w:firstRow="1" w:lastRow="0" w:firstColumn="1" w:lastColumn="0" w:noHBand="0" w:noVBand="1"/>
      </w:tblPr>
      <w:tblGrid>
        <w:gridCol w:w="2040"/>
        <w:gridCol w:w="1503"/>
        <w:gridCol w:w="867"/>
        <w:gridCol w:w="698"/>
        <w:gridCol w:w="859"/>
        <w:gridCol w:w="698"/>
        <w:gridCol w:w="859"/>
        <w:gridCol w:w="698"/>
        <w:gridCol w:w="859"/>
        <w:gridCol w:w="698"/>
      </w:tblGrid>
      <w:tr w:rsidR="005046EB" w:rsidRPr="005046EB" w:rsidTr="005046EB">
        <w:trPr>
          <w:trHeight w:val="283"/>
        </w:trPr>
        <w:tc>
          <w:tcPr>
            <w:tcW w:w="1882" w:type="pct"/>
            <w:gridSpan w:val="2"/>
            <w:vMerge w:val="restart"/>
            <w:tcBorders>
              <w:top w:val="double" w:sz="4"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3118" w:type="pct"/>
            <w:gridSpan w:val="8"/>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Nagrody pieniężne za lata:</w:t>
            </w:r>
          </w:p>
        </w:tc>
      </w:tr>
      <w:tr w:rsidR="005046EB" w:rsidRPr="005046EB" w:rsidTr="005046EB">
        <w:trPr>
          <w:trHeight w:val="283"/>
        </w:trPr>
        <w:tc>
          <w:tcPr>
            <w:tcW w:w="0" w:type="auto"/>
            <w:gridSpan w:val="2"/>
            <w:vMerge/>
            <w:tcBorders>
              <w:top w:val="double" w:sz="4" w:space="0" w:color="4472C4"/>
              <w:left w:val="nil"/>
              <w:bottom w:val="nil"/>
              <w:right w:val="nil"/>
            </w:tcBorders>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862"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2018</w:t>
            </w:r>
          </w:p>
        </w:tc>
        <w:tc>
          <w:tcPr>
            <w:tcW w:w="780"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2017</w:t>
            </w:r>
          </w:p>
        </w:tc>
        <w:tc>
          <w:tcPr>
            <w:tcW w:w="738"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2016</w:t>
            </w:r>
          </w:p>
        </w:tc>
        <w:tc>
          <w:tcPr>
            <w:tcW w:w="738"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2015</w:t>
            </w:r>
          </w:p>
        </w:tc>
      </w:tr>
      <w:tr w:rsidR="005046EB" w:rsidRPr="005046EB" w:rsidTr="005046EB">
        <w:trPr>
          <w:trHeight w:val="283"/>
        </w:trPr>
        <w:tc>
          <w:tcPr>
            <w:tcW w:w="1882" w:type="pct"/>
            <w:gridSpan w:val="2"/>
            <w:tcBorders>
              <w:top w:val="nil"/>
              <w:left w:val="nil"/>
              <w:bottom w:val="single" w:sz="8" w:space="0" w:color="4472C4"/>
              <w:right w:val="nil"/>
            </w:tcBorders>
            <w:vAlign w:val="center"/>
            <w:hideMark/>
          </w:tcPr>
          <w:p w:rsidR="005046EB" w:rsidRPr="005046EB" w:rsidRDefault="005046EB" w:rsidP="005046EB">
            <w:pPr>
              <w:spacing w:after="0" w:line="240" w:lineRule="auto"/>
              <w:rPr>
                <w:rFonts w:ascii="Arial" w:eastAsia="Times New Roman" w:hAnsi="Arial" w:cs="Times New Roman"/>
                <w:b/>
                <w:bCs/>
                <w:color w:val="auto"/>
                <w:sz w:val="17"/>
                <w:szCs w:val="17"/>
                <w:lang w:val="pl-PL"/>
              </w:rPr>
            </w:pPr>
          </w:p>
        </w:tc>
        <w:tc>
          <w:tcPr>
            <w:tcW w:w="486"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76"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42"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38"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0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38"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0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38"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3"/>
        </w:trPr>
        <w:tc>
          <w:tcPr>
            <w:tcW w:w="1054"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Sławomir S. Sikora</w:t>
            </w:r>
          </w:p>
        </w:tc>
        <w:tc>
          <w:tcPr>
            <w:tcW w:w="82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86"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445</w:t>
            </w:r>
          </w:p>
        </w:tc>
        <w:tc>
          <w:tcPr>
            <w:tcW w:w="376"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w:t>
            </w:r>
          </w:p>
        </w:tc>
        <w:tc>
          <w:tcPr>
            <w:tcW w:w="442"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198</w:t>
            </w:r>
          </w:p>
        </w:tc>
        <w:tc>
          <w:tcPr>
            <w:tcW w:w="33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40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331</w:t>
            </w:r>
          </w:p>
        </w:tc>
        <w:tc>
          <w:tcPr>
            <w:tcW w:w="33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w:t>
            </w:r>
          </w:p>
        </w:tc>
        <w:tc>
          <w:tcPr>
            <w:tcW w:w="40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347</w:t>
            </w:r>
          </w:p>
        </w:tc>
        <w:tc>
          <w:tcPr>
            <w:tcW w:w="33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xml:space="preserve">Maciej Kropidłowski </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560</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244</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148</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265</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David Mouillé</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586</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16%</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133</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53</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Sobala</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166</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11%</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35</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Katarzyna Majewska</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168</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38</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Natalia Bożek</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152</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54" w:type="pct"/>
            <w:tcBorders>
              <w:top w:val="nil"/>
              <w:left w:val="nil"/>
              <w:bottom w:val="nil"/>
              <w:right w:val="nil"/>
            </w:tcBorders>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Zarządu</w:t>
            </w:r>
          </w:p>
        </w:tc>
        <w:tc>
          <w:tcPr>
            <w:tcW w:w="82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rPr>
                <w:rFonts w:ascii="Arial" w:eastAsia="SimSun" w:hAnsi="Arial" w:cs="Times New Roman"/>
                <w:color w:val="auto"/>
                <w:sz w:val="17"/>
                <w:szCs w:val="17"/>
                <w:lang w:val="pl-PL" w:eastAsia="zh-CN"/>
              </w:rPr>
            </w:pPr>
          </w:p>
        </w:tc>
        <w:tc>
          <w:tcPr>
            <w:tcW w:w="486"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76"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42"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3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0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3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0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3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Czesław Piasek</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31.03.2018</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55</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14%</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48</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47</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12%</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Witold Zieliński</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19.02.2018</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27</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11%</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53</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11%</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57</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12%</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Brendan Carney</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22.06.2015</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71</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52%</w:t>
            </w:r>
          </w:p>
        </w:tc>
      </w:tr>
      <w:tr w:rsidR="005046EB" w:rsidRPr="005046EB" w:rsidTr="005046EB">
        <w:trPr>
          <w:trHeight w:val="283"/>
        </w:trPr>
        <w:tc>
          <w:tcPr>
            <w:tcW w:w="1054"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Iwona Dudzińska</w:t>
            </w:r>
          </w:p>
        </w:tc>
        <w:tc>
          <w:tcPr>
            <w:tcW w:w="82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31.07.2015</w:t>
            </w:r>
          </w:p>
        </w:tc>
        <w:tc>
          <w:tcPr>
            <w:tcW w:w="48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76"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42"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50%</w:t>
            </w:r>
          </w:p>
        </w:tc>
      </w:tr>
      <w:tr w:rsidR="005046EB" w:rsidRPr="005046EB" w:rsidTr="005046EB">
        <w:trPr>
          <w:trHeight w:val="283"/>
        </w:trPr>
        <w:tc>
          <w:tcPr>
            <w:tcW w:w="1054"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82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486"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2 159</w:t>
            </w:r>
          </w:p>
        </w:tc>
        <w:tc>
          <w:tcPr>
            <w:tcW w:w="376"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11%</w:t>
            </w:r>
          </w:p>
        </w:tc>
        <w:tc>
          <w:tcPr>
            <w:tcW w:w="442"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758</w:t>
            </w:r>
          </w:p>
        </w:tc>
        <w:tc>
          <w:tcPr>
            <w:tcW w:w="33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w:t>
            </w:r>
          </w:p>
        </w:tc>
        <w:tc>
          <w:tcPr>
            <w:tcW w:w="40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791</w:t>
            </w:r>
          </w:p>
        </w:tc>
        <w:tc>
          <w:tcPr>
            <w:tcW w:w="33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w:t>
            </w:r>
          </w:p>
        </w:tc>
        <w:tc>
          <w:tcPr>
            <w:tcW w:w="40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906</w:t>
            </w:r>
          </w:p>
        </w:tc>
        <w:tc>
          <w:tcPr>
            <w:tcW w:w="33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5%</w:t>
            </w:r>
          </w:p>
        </w:tc>
      </w:tr>
    </w:tbl>
    <w:p w:rsidR="005046EB" w:rsidRPr="005046EB" w:rsidRDefault="005046EB" w:rsidP="005046EB">
      <w:pPr>
        <w:spacing w:before="120" w:after="120" w:line="288" w:lineRule="auto"/>
        <w:ind w:right="142"/>
        <w:rPr>
          <w:rFonts w:ascii="Arial" w:eastAsia="SimSun" w:hAnsi="Arial" w:cs="Times New Roman"/>
          <w:iCs/>
          <w:color w:val="auto"/>
          <w:sz w:val="23"/>
          <w:szCs w:val="23"/>
          <w:lang w:val="pl-PL" w:eastAsia="zh-CN"/>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r w:rsidRPr="005046EB">
        <w:rPr>
          <w:rFonts w:ascii="Arial" w:eastAsia="SimSun" w:hAnsi="Arial" w:cs="Times New Roman"/>
          <w:iCs/>
          <w:color w:val="auto"/>
          <w:sz w:val="23"/>
          <w:szCs w:val="23"/>
          <w:lang w:val="pl-PL" w:eastAsia="zh-CN"/>
        </w:rPr>
        <w:br w:type="page"/>
      </w:r>
    </w:p>
    <w:p w:rsidR="005046EB" w:rsidRPr="005046EB" w:rsidRDefault="005046EB" w:rsidP="005046EB">
      <w:pPr>
        <w:spacing w:before="120" w:after="120" w:line="288" w:lineRule="auto"/>
        <w:ind w:right="142"/>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lastRenderedPageBreak/>
        <w:t>W poniższej tabeli przedstawiono wysokość zmiennych składników wynagrodzenia w formie nagród kapitałowych (w tys. PLN) wypłaconych w 2019 roku członkom Zarządu Banku oraz udział tych składników w wynagrodzeniu całkowitym (wyrażony jako %).</w:t>
      </w:r>
    </w:p>
    <w:tbl>
      <w:tblPr>
        <w:tblW w:w="5000" w:type="pct"/>
        <w:tblBorders>
          <w:top w:val="double" w:sz="4" w:space="0" w:color="4472C4"/>
          <w:bottom w:val="double" w:sz="4" w:space="0" w:color="4472C4"/>
        </w:tblBorders>
        <w:tblCellMar>
          <w:left w:w="28" w:type="dxa"/>
          <w:right w:w="28" w:type="dxa"/>
        </w:tblCellMar>
        <w:tblLook w:val="04A0" w:firstRow="1" w:lastRow="0" w:firstColumn="1" w:lastColumn="0" w:noHBand="0" w:noVBand="1"/>
      </w:tblPr>
      <w:tblGrid>
        <w:gridCol w:w="1892"/>
        <w:gridCol w:w="1459"/>
        <w:gridCol w:w="802"/>
        <w:gridCol w:w="802"/>
        <w:gridCol w:w="802"/>
        <w:gridCol w:w="804"/>
        <w:gridCol w:w="802"/>
        <w:gridCol w:w="802"/>
        <w:gridCol w:w="802"/>
        <w:gridCol w:w="812"/>
      </w:tblGrid>
      <w:tr w:rsidR="005046EB" w:rsidRPr="005046EB" w:rsidTr="005046EB">
        <w:trPr>
          <w:trHeight w:val="264"/>
        </w:trPr>
        <w:tc>
          <w:tcPr>
            <w:tcW w:w="1714" w:type="pct"/>
            <w:gridSpan w:val="2"/>
            <w:vMerge w:val="restart"/>
            <w:tcBorders>
              <w:top w:val="double" w:sz="4" w:space="0" w:color="4472C4"/>
              <w:left w:val="nil"/>
              <w:bottom w:val="nil"/>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3286" w:type="pct"/>
            <w:gridSpan w:val="8"/>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Nagrody kapitałowe za lata:</w:t>
            </w:r>
          </w:p>
        </w:tc>
      </w:tr>
      <w:tr w:rsidR="005046EB" w:rsidRPr="005046EB" w:rsidTr="005046EB">
        <w:trPr>
          <w:trHeight w:val="288"/>
        </w:trPr>
        <w:tc>
          <w:tcPr>
            <w:tcW w:w="0" w:type="auto"/>
            <w:gridSpan w:val="2"/>
            <w:vMerge/>
            <w:tcBorders>
              <w:top w:val="double" w:sz="4" w:space="0" w:color="4472C4"/>
              <w:left w:val="nil"/>
              <w:bottom w:val="nil"/>
              <w:right w:val="nil"/>
            </w:tcBorders>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820"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2018</w:t>
            </w:r>
          </w:p>
        </w:tc>
        <w:tc>
          <w:tcPr>
            <w:tcW w:w="821"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2017</w:t>
            </w:r>
          </w:p>
        </w:tc>
        <w:tc>
          <w:tcPr>
            <w:tcW w:w="820"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2016</w:t>
            </w:r>
          </w:p>
        </w:tc>
        <w:tc>
          <w:tcPr>
            <w:tcW w:w="824"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2015</w:t>
            </w:r>
          </w:p>
        </w:tc>
      </w:tr>
      <w:tr w:rsidR="005046EB" w:rsidRPr="005046EB" w:rsidTr="005046EB">
        <w:trPr>
          <w:trHeight w:val="648"/>
        </w:trPr>
        <w:tc>
          <w:tcPr>
            <w:tcW w:w="1714" w:type="pct"/>
            <w:gridSpan w:val="2"/>
            <w:tcBorders>
              <w:top w:val="nil"/>
              <w:left w:val="nil"/>
              <w:bottom w:val="single" w:sz="8" w:space="0" w:color="4472C4"/>
              <w:right w:val="nil"/>
            </w:tcBorders>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u w:val="single"/>
                <w:lang w:val="pl-PL"/>
              </w:rPr>
            </w:pPr>
            <w:r w:rsidRPr="005046EB">
              <w:rPr>
                <w:rFonts w:ascii="Arial" w:eastAsia="Times New Roman" w:hAnsi="Arial" w:cs="Times New Roman"/>
                <w:bCs/>
                <w:color w:val="auto"/>
                <w:sz w:val="17"/>
                <w:szCs w:val="17"/>
                <w:u w:val="single"/>
                <w:lang w:val="pl-PL"/>
              </w:rPr>
              <w:t> </w:t>
            </w:r>
          </w:p>
        </w:tc>
        <w:tc>
          <w:tcPr>
            <w:tcW w:w="41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41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1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411"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1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41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1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414"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8"/>
        </w:trPr>
        <w:tc>
          <w:tcPr>
            <w:tcW w:w="96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Sławomir S. Sikora</w:t>
            </w:r>
          </w:p>
        </w:tc>
        <w:tc>
          <w:tcPr>
            <w:tcW w:w="746"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1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566</w:t>
            </w:r>
          </w:p>
        </w:tc>
        <w:tc>
          <w:tcPr>
            <w:tcW w:w="411"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11%</w:t>
            </w:r>
          </w:p>
        </w:tc>
        <w:tc>
          <w:tcPr>
            <w:tcW w:w="41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267</w:t>
            </w:r>
          </w:p>
        </w:tc>
        <w:tc>
          <w:tcPr>
            <w:tcW w:w="41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w:t>
            </w:r>
          </w:p>
        </w:tc>
        <w:tc>
          <w:tcPr>
            <w:tcW w:w="41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306</w:t>
            </w:r>
          </w:p>
        </w:tc>
        <w:tc>
          <w:tcPr>
            <w:tcW w:w="414"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w:t>
            </w:r>
          </w:p>
        </w:tc>
      </w:tr>
      <w:tr w:rsidR="005046EB" w:rsidRPr="005046EB" w:rsidTr="005046EB">
        <w:trPr>
          <w:trHeight w:val="288"/>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xml:space="preserve">Maciej Kropidłowski </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464</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11%</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173</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119</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233</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w:t>
            </w:r>
          </w:p>
        </w:tc>
      </w:tr>
      <w:tr w:rsidR="005046EB" w:rsidRPr="005046EB" w:rsidTr="005046EB">
        <w:trPr>
          <w:trHeight w:val="288"/>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David Mouillé</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486</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98</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107</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46</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r>
      <w:tr w:rsidR="005046EB" w:rsidRPr="005046EB" w:rsidTr="005046EB">
        <w:trPr>
          <w:trHeight w:val="288"/>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Sobala</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138</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27</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31</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31</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r>
      <w:tr w:rsidR="005046EB" w:rsidRPr="005046EB" w:rsidTr="005046EB">
        <w:trPr>
          <w:trHeight w:val="288"/>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Katarzyna Majewska</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139</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28</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31</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300"/>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Natalia Bożek</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65</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300"/>
        </w:trPr>
        <w:tc>
          <w:tcPr>
            <w:tcW w:w="968" w:type="pct"/>
            <w:tcBorders>
              <w:top w:val="nil"/>
              <w:left w:val="nil"/>
              <w:bottom w:val="nil"/>
              <w:right w:val="nil"/>
            </w:tcBorders>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Zarządu</w:t>
            </w:r>
          </w:p>
        </w:tc>
        <w:tc>
          <w:tcPr>
            <w:tcW w:w="746" w:type="pct"/>
            <w:tcBorders>
              <w:top w:val="nil"/>
              <w:left w:val="nil"/>
              <w:bottom w:val="nil"/>
              <w:right w:val="nil"/>
            </w:tcBorders>
            <w:shd w:val="clear" w:color="auto" w:fill="E7E6E6"/>
            <w:noWrap/>
            <w:vAlign w:val="center"/>
          </w:tcPr>
          <w:p w:rsidR="005046EB" w:rsidRPr="005046EB" w:rsidRDefault="005046EB" w:rsidP="005046EB">
            <w:pPr>
              <w:spacing w:after="0" w:line="240" w:lineRule="auto"/>
              <w:rPr>
                <w:rFonts w:ascii="Arial" w:eastAsia="SimSun" w:hAnsi="Arial" w:cs="Times New Roman"/>
                <w:color w:val="auto"/>
                <w:sz w:val="17"/>
                <w:szCs w:val="17"/>
                <w:lang w:val="pl-PL" w:eastAsia="zh-CN"/>
              </w:rPr>
            </w:pPr>
          </w:p>
        </w:tc>
        <w:tc>
          <w:tcPr>
            <w:tcW w:w="41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1"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14"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r>
      <w:tr w:rsidR="005046EB" w:rsidRPr="005046EB" w:rsidTr="005046EB">
        <w:trPr>
          <w:trHeight w:val="300"/>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Czesław Piasek</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31.03.2018</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46</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12%</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35</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9%</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39</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42</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11%</w:t>
            </w:r>
          </w:p>
        </w:tc>
      </w:tr>
      <w:tr w:rsidR="005046EB" w:rsidRPr="005046EB" w:rsidTr="005046EB">
        <w:trPr>
          <w:trHeight w:val="300"/>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Witold Zieliński</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19.02.2018</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36</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43</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9%</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50</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11%</w:t>
            </w:r>
          </w:p>
        </w:tc>
      </w:tr>
      <w:tr w:rsidR="005046EB" w:rsidRPr="005046EB" w:rsidTr="005046EB">
        <w:trPr>
          <w:trHeight w:val="300"/>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Brendan Carney</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22.06.2015</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64</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48%</w:t>
            </w:r>
          </w:p>
        </w:tc>
      </w:tr>
      <w:tr w:rsidR="005046EB" w:rsidRPr="005046EB" w:rsidTr="005046EB">
        <w:trPr>
          <w:trHeight w:val="300"/>
        </w:trPr>
        <w:tc>
          <w:tcPr>
            <w:tcW w:w="96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Iwona Dudzińska</w:t>
            </w:r>
          </w:p>
        </w:tc>
        <w:tc>
          <w:tcPr>
            <w:tcW w:w="746"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31.07.2015</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1"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1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27</w:t>
            </w:r>
          </w:p>
        </w:tc>
        <w:tc>
          <w:tcPr>
            <w:tcW w:w="41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44%</w:t>
            </w:r>
          </w:p>
        </w:tc>
      </w:tr>
      <w:tr w:rsidR="005046EB" w:rsidRPr="005046EB" w:rsidTr="005046EB">
        <w:trPr>
          <w:trHeight w:val="288"/>
        </w:trPr>
        <w:tc>
          <w:tcPr>
            <w:tcW w:w="968"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746"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41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1 338</w:t>
            </w:r>
          </w:p>
        </w:tc>
        <w:tc>
          <w:tcPr>
            <w:tcW w:w="41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7%</w:t>
            </w:r>
          </w:p>
        </w:tc>
        <w:tc>
          <w:tcPr>
            <w:tcW w:w="41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962</w:t>
            </w:r>
          </w:p>
        </w:tc>
        <w:tc>
          <w:tcPr>
            <w:tcW w:w="411"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5%</w:t>
            </w:r>
          </w:p>
        </w:tc>
        <w:tc>
          <w:tcPr>
            <w:tcW w:w="41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637</w:t>
            </w:r>
          </w:p>
        </w:tc>
        <w:tc>
          <w:tcPr>
            <w:tcW w:w="41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3%</w:t>
            </w:r>
          </w:p>
        </w:tc>
        <w:tc>
          <w:tcPr>
            <w:tcW w:w="41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799</w:t>
            </w:r>
          </w:p>
        </w:tc>
        <w:tc>
          <w:tcPr>
            <w:tcW w:w="414"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w:t>
            </w:r>
          </w:p>
        </w:tc>
      </w:tr>
    </w:tbl>
    <w:p w:rsidR="005046EB" w:rsidRPr="005046EB" w:rsidRDefault="005046EB" w:rsidP="005046EB">
      <w:pPr>
        <w:spacing w:before="240" w:after="120" w:line="288" w:lineRule="auto"/>
        <w:ind w:right="142"/>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poniższej tabeli przedstawiono wysokość stałych składników wynagrodzenia (w tys. PLN) wypłaconych w 2020 roku członkom Zarządu Banku oraz udział tych składników w wynagrodzeniu całkowitym (wyrażony jako %).</w:t>
      </w:r>
    </w:p>
    <w:tbl>
      <w:tblPr>
        <w:tblW w:w="5000" w:type="pct"/>
        <w:tblLook w:val="04A0" w:firstRow="1" w:lastRow="0" w:firstColumn="1" w:lastColumn="0" w:noHBand="0" w:noVBand="1"/>
      </w:tblPr>
      <w:tblGrid>
        <w:gridCol w:w="2248"/>
        <w:gridCol w:w="1762"/>
        <w:gridCol w:w="1443"/>
        <w:gridCol w:w="1445"/>
        <w:gridCol w:w="1443"/>
        <w:gridCol w:w="1438"/>
      </w:tblGrid>
      <w:tr w:rsidR="005046EB" w:rsidRPr="005046EB" w:rsidTr="005046EB">
        <w:trPr>
          <w:trHeight w:val="283"/>
        </w:trPr>
        <w:tc>
          <w:tcPr>
            <w:tcW w:w="2050" w:type="pct"/>
            <w:gridSpan w:val="2"/>
            <w:vMerge w:val="restart"/>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1477" w:type="pct"/>
            <w:gridSpan w:val="2"/>
            <w:tcBorders>
              <w:top w:val="double" w:sz="4" w:space="0" w:color="4472C4"/>
              <w:left w:val="nil"/>
              <w:bottom w:val="single" w:sz="8"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Wynagrodzenie zasadnicze</w:t>
            </w:r>
          </w:p>
        </w:tc>
        <w:tc>
          <w:tcPr>
            <w:tcW w:w="1473" w:type="pct"/>
            <w:gridSpan w:val="2"/>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Inne świadczenia</w:t>
            </w:r>
          </w:p>
        </w:tc>
      </w:tr>
      <w:tr w:rsidR="005046EB" w:rsidRPr="005046EB" w:rsidTr="005046EB">
        <w:trPr>
          <w:trHeight w:val="283"/>
        </w:trPr>
        <w:tc>
          <w:tcPr>
            <w:tcW w:w="0" w:type="auto"/>
            <w:gridSpan w:val="2"/>
            <w:vMerge/>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738" w:type="pct"/>
            <w:tcBorders>
              <w:top w:val="single" w:sz="8" w:space="0" w:color="4472C4"/>
              <w:left w:val="nil"/>
              <w:bottom w:val="single" w:sz="8" w:space="0" w:color="4472C4"/>
              <w:right w:val="nil"/>
            </w:tcBorders>
            <w:noWrap/>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739" w:type="pct"/>
            <w:tcBorders>
              <w:top w:val="single" w:sz="8" w:space="0" w:color="4472C4"/>
              <w:left w:val="nil"/>
              <w:bottom w:val="single" w:sz="8" w:space="0" w:color="4472C4"/>
              <w:right w:val="nil"/>
            </w:tcBorders>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738" w:type="pct"/>
            <w:tcBorders>
              <w:top w:val="single" w:sz="8" w:space="0" w:color="4472C4"/>
              <w:left w:val="nil"/>
              <w:bottom w:val="single" w:sz="8" w:space="0" w:color="4472C4"/>
              <w:right w:val="nil"/>
            </w:tcBorders>
            <w:noWrap/>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735" w:type="pct"/>
            <w:tcBorders>
              <w:top w:val="single" w:sz="8" w:space="0" w:color="4472C4"/>
              <w:left w:val="nil"/>
              <w:bottom w:val="single" w:sz="8" w:space="0" w:color="4472C4"/>
              <w:right w:val="nil"/>
            </w:tcBorders>
            <w:tcMar>
              <w:top w:w="0" w:type="dxa"/>
              <w:left w:w="0" w:type="dxa"/>
              <w:bottom w:w="0" w:type="dxa"/>
              <w:right w:w="0"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3"/>
        </w:trPr>
        <w:tc>
          <w:tcPr>
            <w:tcW w:w="1149"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Sławomir S. Sikora</w:t>
            </w:r>
          </w:p>
        </w:tc>
        <w:tc>
          <w:tcPr>
            <w:tcW w:w="901"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38" w:type="pct"/>
            <w:tcBorders>
              <w:top w:val="single" w:sz="8" w:space="0" w:color="4472C4"/>
              <w:left w:val="nil"/>
              <w:bottom w:val="nil"/>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2 391</w:t>
            </w:r>
          </w:p>
        </w:tc>
        <w:tc>
          <w:tcPr>
            <w:tcW w:w="739" w:type="pct"/>
            <w:tcBorders>
              <w:top w:val="single" w:sz="8" w:space="0" w:color="4472C4"/>
              <w:left w:val="nil"/>
              <w:bottom w:val="nil"/>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52%</w:t>
            </w:r>
          </w:p>
        </w:tc>
        <w:tc>
          <w:tcPr>
            <w:tcW w:w="738" w:type="pct"/>
            <w:tcBorders>
              <w:top w:val="single" w:sz="8" w:space="0" w:color="4472C4"/>
              <w:left w:val="nil"/>
              <w:bottom w:val="nil"/>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321</w:t>
            </w:r>
          </w:p>
        </w:tc>
        <w:tc>
          <w:tcPr>
            <w:tcW w:w="735" w:type="pct"/>
            <w:tcBorders>
              <w:top w:val="single" w:sz="8" w:space="0" w:color="4472C4"/>
              <w:left w:val="nil"/>
              <w:bottom w:val="nil"/>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xml:space="preserve">Maciej Kropidłowski </w:t>
            </w:r>
          </w:p>
        </w:tc>
        <w:tc>
          <w:tcPr>
            <w:tcW w:w="901"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1 733</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45%</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256</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Dennis Hussey</w:t>
            </w:r>
          </w:p>
        </w:tc>
        <w:tc>
          <w:tcPr>
            <w:tcW w:w="901"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od 01.04.2020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1 083</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1 602</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60%</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Sobala</w:t>
            </w:r>
          </w:p>
        </w:tc>
        <w:tc>
          <w:tcPr>
            <w:tcW w:w="901"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900</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110</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James Foley</w:t>
            </w:r>
          </w:p>
        </w:tc>
        <w:tc>
          <w:tcPr>
            <w:tcW w:w="901"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1 200</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237</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12%</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Katarzyna Majewska</w:t>
            </w:r>
          </w:p>
        </w:tc>
        <w:tc>
          <w:tcPr>
            <w:tcW w:w="901"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862</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62%</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105</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Natalia Bożek</w:t>
            </w:r>
          </w:p>
        </w:tc>
        <w:tc>
          <w:tcPr>
            <w:tcW w:w="901"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867</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77%</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86</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w:t>
            </w:r>
          </w:p>
        </w:tc>
      </w:tr>
      <w:tr w:rsidR="005046EB" w:rsidRPr="005046EB" w:rsidTr="005046EB">
        <w:trPr>
          <w:trHeight w:val="283"/>
        </w:trPr>
        <w:tc>
          <w:tcPr>
            <w:tcW w:w="1149" w:type="pct"/>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Zarządu</w:t>
            </w:r>
          </w:p>
        </w:tc>
        <w:tc>
          <w:tcPr>
            <w:tcW w:w="901" w:type="pct"/>
            <w:shd w:val="clear" w:color="auto" w:fill="E7E6E6"/>
            <w:noWrap/>
            <w:vAlign w:val="center"/>
          </w:tcPr>
          <w:p w:rsidR="005046EB" w:rsidRPr="005046EB" w:rsidRDefault="005046EB" w:rsidP="005046EB">
            <w:pPr>
              <w:spacing w:after="0" w:line="240" w:lineRule="auto"/>
              <w:rPr>
                <w:rFonts w:ascii="Arial" w:eastAsia="SimSun" w:hAnsi="Arial" w:cs="Times New Roman"/>
                <w:color w:val="auto"/>
                <w:sz w:val="17"/>
                <w:szCs w:val="17"/>
                <w:lang w:val="pl-PL" w:eastAsia="zh-CN"/>
              </w:rPr>
            </w:pPr>
          </w:p>
        </w:tc>
        <w:tc>
          <w:tcPr>
            <w:tcW w:w="738" w:type="pct"/>
            <w:shd w:val="clear" w:color="auto" w:fill="E7E6E6"/>
            <w:noWrap/>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739" w:type="pct"/>
            <w:shd w:val="clear" w:color="auto" w:fill="E7E6E6"/>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738" w:type="pct"/>
            <w:shd w:val="clear" w:color="auto" w:fill="E7E6E6"/>
            <w:noWrap/>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735" w:type="pct"/>
            <w:shd w:val="clear" w:color="auto" w:fill="E7E6E6"/>
            <w:tcMar>
              <w:top w:w="0" w:type="dxa"/>
              <w:left w:w="57" w:type="dxa"/>
              <w:bottom w:w="0" w:type="dxa"/>
              <w:right w:w="57" w:type="dxa"/>
            </w:tcMar>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David Mouille</w:t>
            </w:r>
          </w:p>
        </w:tc>
        <w:tc>
          <w:tcPr>
            <w:tcW w:w="901"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31.01.2020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120</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954</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36%</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Czesław Piasek</w:t>
            </w:r>
          </w:p>
        </w:tc>
        <w:tc>
          <w:tcPr>
            <w:tcW w:w="901"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31.03.2018</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12</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149"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Witold Zieliński</w:t>
            </w:r>
          </w:p>
        </w:tc>
        <w:tc>
          <w:tcPr>
            <w:tcW w:w="901"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19.02.2018</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39"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738" w:type="pct"/>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c>
          <w:tcPr>
            <w:tcW w:w="735" w:type="pct"/>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w:t>
            </w:r>
          </w:p>
        </w:tc>
      </w:tr>
      <w:tr w:rsidR="005046EB" w:rsidRPr="005046EB" w:rsidTr="005046EB">
        <w:trPr>
          <w:trHeight w:val="283"/>
        </w:trPr>
        <w:tc>
          <w:tcPr>
            <w:tcW w:w="1149"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
                <w:bCs/>
                <w:color w:val="auto"/>
                <w:sz w:val="17"/>
                <w:szCs w:val="17"/>
                <w:lang w:val="pl-PL"/>
              </w:rPr>
            </w:pPr>
          </w:p>
        </w:tc>
        <w:tc>
          <w:tcPr>
            <w:tcW w:w="901"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 </w:t>
            </w:r>
          </w:p>
        </w:tc>
        <w:tc>
          <w:tcPr>
            <w:tcW w:w="738" w:type="pct"/>
            <w:tcBorders>
              <w:top w:val="single" w:sz="8" w:space="0" w:color="4472C4"/>
              <w:left w:val="nil"/>
              <w:bottom w:val="double" w:sz="4" w:space="0" w:color="4472C4"/>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9 157</w:t>
            </w:r>
          </w:p>
        </w:tc>
        <w:tc>
          <w:tcPr>
            <w:tcW w:w="739" w:type="pct"/>
            <w:tcBorders>
              <w:top w:val="single" w:sz="8" w:space="0" w:color="4472C4"/>
              <w:left w:val="nil"/>
              <w:bottom w:val="double" w:sz="4"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46%</w:t>
            </w:r>
          </w:p>
        </w:tc>
        <w:tc>
          <w:tcPr>
            <w:tcW w:w="738" w:type="pct"/>
            <w:tcBorders>
              <w:top w:val="single" w:sz="8" w:space="0" w:color="4472C4"/>
              <w:left w:val="nil"/>
              <w:bottom w:val="double" w:sz="4" w:space="0" w:color="4472C4"/>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3 689</w:t>
            </w:r>
          </w:p>
        </w:tc>
        <w:tc>
          <w:tcPr>
            <w:tcW w:w="735" w:type="pct"/>
            <w:tcBorders>
              <w:top w:val="single" w:sz="8" w:space="0" w:color="4472C4"/>
              <w:left w:val="nil"/>
              <w:bottom w:val="double" w:sz="4"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right"/>
              <w:rPr>
                <w:rFonts w:ascii="Arial" w:eastAsia="SimSun" w:hAnsi="Arial" w:cs="Times New Roman"/>
                <w:b/>
                <w:bCs/>
                <w:color w:val="auto"/>
                <w:sz w:val="17"/>
                <w:szCs w:val="17"/>
                <w:lang w:val="pl-PL" w:eastAsia="zh-CN"/>
              </w:rPr>
            </w:pPr>
            <w:r w:rsidRPr="005046EB">
              <w:rPr>
                <w:rFonts w:ascii="Arial" w:eastAsia="SimSun" w:hAnsi="Arial" w:cs="Times New Roman"/>
                <w:b/>
                <w:bCs/>
                <w:color w:val="auto"/>
                <w:sz w:val="17"/>
                <w:szCs w:val="17"/>
                <w:lang w:val="pl-PL" w:eastAsia="zh-CN"/>
              </w:rPr>
              <w:t>18%</w:t>
            </w:r>
          </w:p>
        </w:tc>
      </w:tr>
    </w:tbl>
    <w:p w:rsidR="005046EB" w:rsidRPr="005046EB" w:rsidRDefault="005046EB" w:rsidP="005046EB">
      <w:pPr>
        <w:spacing w:before="120" w:after="120" w:line="288" w:lineRule="auto"/>
        <w:ind w:right="142"/>
        <w:rPr>
          <w:rFonts w:ascii="Arial" w:eastAsia="SimSun" w:hAnsi="Arial" w:cs="Times New Roman"/>
          <w:iCs/>
          <w:color w:val="auto"/>
          <w:sz w:val="23"/>
          <w:szCs w:val="23"/>
          <w:lang w:val="pl-PL" w:eastAsia="zh-CN"/>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r w:rsidRPr="005046EB">
        <w:rPr>
          <w:rFonts w:ascii="Arial" w:eastAsia="SimSun" w:hAnsi="Arial" w:cs="Times New Roman"/>
          <w:iCs/>
          <w:color w:val="auto"/>
          <w:sz w:val="23"/>
          <w:szCs w:val="23"/>
          <w:lang w:val="pl-PL" w:eastAsia="zh-CN"/>
        </w:rPr>
        <w:br w:type="page"/>
      </w:r>
    </w:p>
    <w:p w:rsidR="005046EB" w:rsidRPr="005046EB" w:rsidRDefault="005046EB" w:rsidP="005046EB">
      <w:pPr>
        <w:spacing w:before="120" w:after="120" w:line="288" w:lineRule="auto"/>
        <w:ind w:right="142"/>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lastRenderedPageBreak/>
        <w:t>W poniższej tabeli przedstawiono wysokość zmiennych składników wynagrodzenia w formie nagród pieniężnych (w tys. PLN) wypłaconych w 2020 roku członkom Zarządu Banku oraz udział tych składników w wynagrodzeniu całkowitym (wyrażony jako %).</w:t>
      </w:r>
    </w:p>
    <w:tbl>
      <w:tblPr>
        <w:tblW w:w="5000" w:type="pct"/>
        <w:tblBorders>
          <w:top w:val="double" w:sz="4" w:space="0" w:color="4472C4"/>
          <w:bottom w:val="double" w:sz="4" w:space="0" w:color="4472C4"/>
        </w:tblBorders>
        <w:tblLook w:val="04A0" w:firstRow="1" w:lastRow="0" w:firstColumn="1" w:lastColumn="0" w:noHBand="0" w:noVBand="1"/>
      </w:tblPr>
      <w:tblGrid>
        <w:gridCol w:w="2040"/>
        <w:gridCol w:w="1511"/>
        <w:gridCol w:w="859"/>
        <w:gridCol w:w="698"/>
        <w:gridCol w:w="859"/>
        <w:gridCol w:w="698"/>
        <w:gridCol w:w="859"/>
        <w:gridCol w:w="698"/>
        <w:gridCol w:w="859"/>
        <w:gridCol w:w="698"/>
      </w:tblGrid>
      <w:tr w:rsidR="005046EB" w:rsidRPr="005046EB" w:rsidTr="005046EB">
        <w:trPr>
          <w:trHeight w:val="283"/>
        </w:trPr>
        <w:tc>
          <w:tcPr>
            <w:tcW w:w="2041" w:type="pct"/>
            <w:gridSpan w:val="2"/>
            <w:vMerge w:val="restart"/>
            <w:tcBorders>
              <w:top w:val="double" w:sz="4"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2959" w:type="pct"/>
            <w:gridSpan w:val="8"/>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Nagrody pieniężne za lata:</w:t>
            </w:r>
          </w:p>
        </w:tc>
      </w:tr>
      <w:tr w:rsidR="005046EB" w:rsidRPr="005046EB" w:rsidTr="005046EB">
        <w:trPr>
          <w:trHeight w:val="283"/>
        </w:trPr>
        <w:tc>
          <w:tcPr>
            <w:tcW w:w="0" w:type="auto"/>
            <w:gridSpan w:val="2"/>
            <w:vMerge/>
            <w:tcBorders>
              <w:top w:val="double" w:sz="4" w:space="0" w:color="4472C4"/>
              <w:left w:val="nil"/>
              <w:bottom w:val="nil"/>
              <w:right w:val="nil"/>
            </w:tcBorders>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738"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2019</w:t>
            </w:r>
          </w:p>
        </w:tc>
        <w:tc>
          <w:tcPr>
            <w:tcW w:w="738"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2018</w:t>
            </w:r>
          </w:p>
        </w:tc>
        <w:tc>
          <w:tcPr>
            <w:tcW w:w="738"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2017</w:t>
            </w:r>
          </w:p>
        </w:tc>
        <w:tc>
          <w:tcPr>
            <w:tcW w:w="744"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2016</w:t>
            </w:r>
          </w:p>
        </w:tc>
      </w:tr>
      <w:tr w:rsidR="005046EB" w:rsidRPr="005046EB" w:rsidTr="005046EB">
        <w:trPr>
          <w:trHeight w:val="283"/>
        </w:trPr>
        <w:tc>
          <w:tcPr>
            <w:tcW w:w="2041" w:type="pct"/>
            <w:gridSpan w:val="2"/>
            <w:tcBorders>
              <w:top w:val="nil"/>
              <w:left w:val="nil"/>
              <w:bottom w:val="single" w:sz="8" w:space="0" w:color="4472C4"/>
              <w:right w:val="nil"/>
            </w:tcBorders>
            <w:vAlign w:val="center"/>
            <w:hideMark/>
          </w:tcPr>
          <w:p w:rsidR="005046EB" w:rsidRPr="005046EB" w:rsidRDefault="005046EB" w:rsidP="005046EB">
            <w:pPr>
              <w:spacing w:after="0" w:line="240" w:lineRule="auto"/>
              <w:rPr>
                <w:rFonts w:ascii="Arial" w:eastAsia="Times New Roman" w:hAnsi="Arial" w:cs="Times New Roman"/>
                <w:b/>
                <w:bCs/>
                <w:color w:val="auto"/>
                <w:sz w:val="17"/>
                <w:szCs w:val="17"/>
                <w:lang w:val="pl-PL"/>
              </w:rPr>
            </w:pPr>
          </w:p>
        </w:tc>
        <w:tc>
          <w:tcPr>
            <w:tcW w:w="40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38"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0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38"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0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38"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40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44"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3"/>
        </w:trPr>
        <w:tc>
          <w:tcPr>
            <w:tcW w:w="1142"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Sławomir S. Sikora</w:t>
            </w:r>
          </w:p>
        </w:tc>
        <w:tc>
          <w:tcPr>
            <w:tcW w:w="89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0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470</w:t>
            </w:r>
          </w:p>
        </w:tc>
        <w:tc>
          <w:tcPr>
            <w:tcW w:w="33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10%</w:t>
            </w:r>
          </w:p>
        </w:tc>
        <w:tc>
          <w:tcPr>
            <w:tcW w:w="40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141</w:t>
            </w:r>
          </w:p>
        </w:tc>
        <w:tc>
          <w:tcPr>
            <w:tcW w:w="33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204</w:t>
            </w:r>
          </w:p>
        </w:tc>
        <w:tc>
          <w:tcPr>
            <w:tcW w:w="338"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40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339</w:t>
            </w:r>
          </w:p>
        </w:tc>
        <w:tc>
          <w:tcPr>
            <w:tcW w:w="344"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7%</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xml:space="preserve">Maciej Kropidłowski </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468</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295</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8%</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252</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7%</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152</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Sobala</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173</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40</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James Foley</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327</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16%</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Katarzyna Majewska</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138</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Natalia Bożek</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82</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7%</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18</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142" w:type="pct"/>
            <w:tcBorders>
              <w:top w:val="nil"/>
              <w:left w:val="nil"/>
              <w:bottom w:val="nil"/>
              <w:right w:val="nil"/>
            </w:tcBorders>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Zarządu</w:t>
            </w:r>
          </w:p>
        </w:tc>
        <w:tc>
          <w:tcPr>
            <w:tcW w:w="89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rPr>
                <w:rFonts w:ascii="Arial" w:eastAsia="SimSun" w:hAnsi="Arial" w:cs="Times New Roman"/>
                <w:color w:val="auto"/>
                <w:sz w:val="17"/>
                <w:szCs w:val="17"/>
                <w:lang w:val="pl-PL" w:eastAsia="zh-CN"/>
              </w:rPr>
            </w:pPr>
          </w:p>
        </w:tc>
        <w:tc>
          <w:tcPr>
            <w:tcW w:w="40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3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0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3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0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38"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40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44"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David Mouille</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31.01.2020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526</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137</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143</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136</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Czesław Piasek</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31.03.2018</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13</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27%</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50</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26%</w:t>
            </w:r>
          </w:p>
        </w:tc>
      </w:tr>
      <w:tr w:rsidR="005046EB" w:rsidRPr="005046EB" w:rsidTr="005046EB">
        <w:trPr>
          <w:trHeight w:val="283"/>
        </w:trPr>
        <w:tc>
          <w:tcPr>
            <w:tcW w:w="1142"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Witold Zieliński</w:t>
            </w:r>
          </w:p>
        </w:tc>
        <w:tc>
          <w:tcPr>
            <w:tcW w:w="898"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19.02.2018</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52</w:t>
            </w:r>
          </w:p>
        </w:tc>
        <w:tc>
          <w:tcPr>
            <w:tcW w:w="338"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30%</w:t>
            </w:r>
          </w:p>
        </w:tc>
        <w:tc>
          <w:tcPr>
            <w:tcW w:w="40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55</w:t>
            </w:r>
          </w:p>
        </w:tc>
        <w:tc>
          <w:tcPr>
            <w:tcW w:w="344"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32%</w:t>
            </w:r>
          </w:p>
        </w:tc>
      </w:tr>
      <w:tr w:rsidR="005046EB" w:rsidRPr="005046EB" w:rsidTr="005046EB">
        <w:trPr>
          <w:trHeight w:val="283"/>
        </w:trPr>
        <w:tc>
          <w:tcPr>
            <w:tcW w:w="1142"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89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40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2 184</w:t>
            </w:r>
          </w:p>
        </w:tc>
        <w:tc>
          <w:tcPr>
            <w:tcW w:w="33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11%</w:t>
            </w:r>
          </w:p>
        </w:tc>
        <w:tc>
          <w:tcPr>
            <w:tcW w:w="40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682</w:t>
            </w:r>
          </w:p>
        </w:tc>
        <w:tc>
          <w:tcPr>
            <w:tcW w:w="33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3%</w:t>
            </w:r>
          </w:p>
        </w:tc>
        <w:tc>
          <w:tcPr>
            <w:tcW w:w="40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780</w:t>
            </w:r>
          </w:p>
        </w:tc>
        <w:tc>
          <w:tcPr>
            <w:tcW w:w="338"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w:t>
            </w:r>
          </w:p>
        </w:tc>
        <w:tc>
          <w:tcPr>
            <w:tcW w:w="40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810</w:t>
            </w:r>
          </w:p>
        </w:tc>
        <w:tc>
          <w:tcPr>
            <w:tcW w:w="344"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w:t>
            </w:r>
          </w:p>
        </w:tc>
      </w:tr>
    </w:tbl>
    <w:p w:rsidR="005046EB" w:rsidRPr="005046EB" w:rsidRDefault="005046EB" w:rsidP="005046EB">
      <w:pPr>
        <w:spacing w:before="240" w:after="120" w:line="288" w:lineRule="auto"/>
        <w:ind w:right="142"/>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poniższej tabeli przedstawiono wysokość zmiennych składników wynagrodzenia w formie nagród kapitałowych (w tys. PLN) wypłaconych w 2020 roku członkom Zarządu Banku oraz udział tych składników w wynagrodzeniu całkowitym (wyrażony jako %).</w:t>
      </w:r>
    </w:p>
    <w:tbl>
      <w:tblPr>
        <w:tblW w:w="5000" w:type="pct"/>
        <w:tblBorders>
          <w:top w:val="double" w:sz="4" w:space="0" w:color="4472C4"/>
          <w:bottom w:val="double" w:sz="4" w:space="0" w:color="4472C4"/>
        </w:tblBorders>
        <w:tblCellMar>
          <w:left w:w="28" w:type="dxa"/>
          <w:right w:w="28" w:type="dxa"/>
        </w:tblCellMar>
        <w:tblLook w:val="04A0" w:firstRow="1" w:lastRow="0" w:firstColumn="1" w:lastColumn="0" w:noHBand="0" w:noVBand="1"/>
      </w:tblPr>
      <w:tblGrid>
        <w:gridCol w:w="2086"/>
        <w:gridCol w:w="1597"/>
        <w:gridCol w:w="761"/>
        <w:gridCol w:w="763"/>
        <w:gridCol w:w="763"/>
        <w:gridCol w:w="763"/>
        <w:gridCol w:w="763"/>
        <w:gridCol w:w="763"/>
        <w:gridCol w:w="763"/>
        <w:gridCol w:w="757"/>
      </w:tblGrid>
      <w:tr w:rsidR="005046EB" w:rsidRPr="005046EB" w:rsidTr="005046EB">
        <w:trPr>
          <w:trHeight w:val="264"/>
        </w:trPr>
        <w:tc>
          <w:tcPr>
            <w:tcW w:w="1883" w:type="pct"/>
            <w:gridSpan w:val="2"/>
            <w:vMerge w:val="restart"/>
            <w:tcBorders>
              <w:top w:val="double" w:sz="4" w:space="0" w:color="4472C4"/>
              <w:left w:val="nil"/>
              <w:bottom w:val="nil"/>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3117" w:type="pct"/>
            <w:gridSpan w:val="8"/>
            <w:tcBorders>
              <w:top w:val="double" w:sz="4"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Nagrody kapitałowe za lata:</w:t>
            </w:r>
          </w:p>
        </w:tc>
      </w:tr>
      <w:tr w:rsidR="005046EB" w:rsidRPr="005046EB" w:rsidTr="005046EB">
        <w:trPr>
          <w:trHeight w:val="288"/>
        </w:trPr>
        <w:tc>
          <w:tcPr>
            <w:tcW w:w="0" w:type="auto"/>
            <w:gridSpan w:val="2"/>
            <w:vMerge/>
            <w:tcBorders>
              <w:top w:val="double" w:sz="4" w:space="0" w:color="4472C4"/>
              <w:left w:val="nil"/>
              <w:bottom w:val="nil"/>
              <w:right w:val="nil"/>
            </w:tcBorders>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779"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2019</w:t>
            </w:r>
          </w:p>
        </w:tc>
        <w:tc>
          <w:tcPr>
            <w:tcW w:w="780"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2018</w:t>
            </w:r>
          </w:p>
        </w:tc>
        <w:tc>
          <w:tcPr>
            <w:tcW w:w="780"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2017</w:t>
            </w:r>
          </w:p>
        </w:tc>
        <w:tc>
          <w:tcPr>
            <w:tcW w:w="777" w:type="pct"/>
            <w:gridSpan w:val="2"/>
            <w:tcBorders>
              <w:top w:val="single" w:sz="8" w:space="0" w:color="4472C4"/>
              <w:left w:val="nil"/>
              <w:bottom w:val="single" w:sz="8"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2016</w:t>
            </w:r>
          </w:p>
        </w:tc>
      </w:tr>
      <w:tr w:rsidR="005046EB" w:rsidRPr="005046EB" w:rsidTr="005046EB">
        <w:trPr>
          <w:trHeight w:val="648"/>
        </w:trPr>
        <w:tc>
          <w:tcPr>
            <w:tcW w:w="1883" w:type="pct"/>
            <w:gridSpan w:val="2"/>
            <w:tcBorders>
              <w:top w:val="nil"/>
              <w:left w:val="nil"/>
              <w:bottom w:val="single" w:sz="8" w:space="0" w:color="4472C4"/>
              <w:right w:val="nil"/>
            </w:tcBorders>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u w:val="single"/>
                <w:lang w:val="pl-PL"/>
              </w:rPr>
            </w:pPr>
            <w:r w:rsidRPr="005046EB">
              <w:rPr>
                <w:rFonts w:ascii="Arial" w:eastAsia="Times New Roman" w:hAnsi="Arial" w:cs="Times New Roman"/>
                <w:bCs/>
                <w:color w:val="auto"/>
                <w:sz w:val="17"/>
                <w:szCs w:val="17"/>
                <w:u w:val="single"/>
                <w:lang w:val="pl-PL"/>
              </w:rPr>
              <w:t> </w:t>
            </w:r>
          </w:p>
        </w:tc>
        <w:tc>
          <w:tcPr>
            <w:tcW w:w="389"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9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39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9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39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9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39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387"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8"/>
        </w:trPr>
        <w:tc>
          <w:tcPr>
            <w:tcW w:w="1067"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Sławomir S. Sikora</w:t>
            </w:r>
          </w:p>
        </w:tc>
        <w:tc>
          <w:tcPr>
            <w:tcW w:w="817"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389"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369</w:t>
            </w:r>
          </w:p>
        </w:tc>
        <w:tc>
          <w:tcPr>
            <w:tcW w:w="39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8%</w:t>
            </w:r>
          </w:p>
        </w:tc>
        <w:tc>
          <w:tcPr>
            <w:tcW w:w="39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140</w:t>
            </w:r>
          </w:p>
        </w:tc>
        <w:tc>
          <w:tcPr>
            <w:tcW w:w="39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39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201</w:t>
            </w:r>
          </w:p>
        </w:tc>
        <w:tc>
          <w:tcPr>
            <w:tcW w:w="387"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r>
      <w:tr w:rsidR="005046EB" w:rsidRPr="005046EB" w:rsidTr="005046EB">
        <w:trPr>
          <w:trHeight w:val="288"/>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xml:space="preserve">Maciej Kropidłowski </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332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167</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127</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90</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r>
      <w:tr w:rsidR="005046EB" w:rsidRPr="005046EB" w:rsidTr="005046EB">
        <w:trPr>
          <w:trHeight w:val="288"/>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Sobala</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123</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8%</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24</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r>
      <w:tr w:rsidR="005046EB" w:rsidRPr="005046EB" w:rsidTr="005046EB">
        <w:trPr>
          <w:trHeight w:val="288"/>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James Foley</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232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8"/>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Katarzyna Majewska</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98</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7%</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23</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w:t>
            </w:r>
          </w:p>
        </w:tc>
      </w:tr>
      <w:tr w:rsidR="005046EB" w:rsidRPr="005046EB" w:rsidTr="005046EB">
        <w:trPr>
          <w:trHeight w:val="300"/>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Natalia Bożek</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59</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300"/>
        </w:trPr>
        <w:tc>
          <w:tcPr>
            <w:tcW w:w="1067" w:type="pct"/>
            <w:tcBorders>
              <w:top w:val="nil"/>
              <w:left w:val="nil"/>
              <w:bottom w:val="nil"/>
              <w:right w:val="nil"/>
            </w:tcBorders>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Zarządu</w:t>
            </w:r>
          </w:p>
        </w:tc>
        <w:tc>
          <w:tcPr>
            <w:tcW w:w="817" w:type="pct"/>
            <w:tcBorders>
              <w:top w:val="nil"/>
              <w:left w:val="nil"/>
              <w:bottom w:val="nil"/>
              <w:right w:val="nil"/>
            </w:tcBorders>
            <w:shd w:val="clear" w:color="auto" w:fill="E7E6E6"/>
            <w:noWrap/>
            <w:vAlign w:val="center"/>
          </w:tcPr>
          <w:p w:rsidR="005046EB" w:rsidRPr="005046EB" w:rsidRDefault="005046EB" w:rsidP="005046EB">
            <w:pPr>
              <w:spacing w:after="0" w:line="240" w:lineRule="auto"/>
              <w:rPr>
                <w:rFonts w:ascii="Arial" w:eastAsia="SimSun" w:hAnsi="Arial" w:cs="Times New Roman"/>
                <w:color w:val="auto"/>
                <w:sz w:val="17"/>
                <w:szCs w:val="17"/>
                <w:lang w:val="pl-PL" w:eastAsia="zh-CN"/>
              </w:rPr>
            </w:pPr>
          </w:p>
        </w:tc>
        <w:tc>
          <w:tcPr>
            <w:tcW w:w="389"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9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9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9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9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9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90"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c>
          <w:tcPr>
            <w:tcW w:w="387" w:type="pct"/>
            <w:tcBorders>
              <w:top w:val="nil"/>
              <w:left w:val="nil"/>
              <w:bottom w:val="nil"/>
              <w:right w:val="nil"/>
            </w:tcBorders>
            <w:shd w:val="clear" w:color="auto" w:fill="E7E6E6"/>
            <w:noWrap/>
            <w:vAlign w:val="center"/>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p>
        </w:tc>
      </w:tr>
      <w:tr w:rsidR="005046EB" w:rsidRPr="005046EB" w:rsidTr="005046EB">
        <w:trPr>
          <w:trHeight w:val="300"/>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David Mouille</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31.01.2020</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374</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14%</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77</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72</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81</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w:t>
            </w:r>
          </w:p>
        </w:tc>
      </w:tr>
      <w:tr w:rsidR="005046EB" w:rsidRPr="005046EB" w:rsidTr="005046EB">
        <w:trPr>
          <w:trHeight w:val="300"/>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Czesław Piasek</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31.03.2018</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7</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25</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14%</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29</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16%</w:t>
            </w:r>
          </w:p>
        </w:tc>
      </w:tr>
      <w:tr w:rsidR="005046EB" w:rsidRPr="005046EB" w:rsidTr="005046EB">
        <w:trPr>
          <w:trHeight w:val="300"/>
        </w:trPr>
        <w:tc>
          <w:tcPr>
            <w:tcW w:w="106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Witold Zieliński</w:t>
            </w:r>
          </w:p>
        </w:tc>
        <w:tc>
          <w:tcPr>
            <w:tcW w:w="817" w:type="pct"/>
            <w:tcBorders>
              <w:top w:val="nil"/>
              <w:left w:val="nil"/>
              <w:bottom w:val="nil"/>
              <w:right w:val="nil"/>
            </w:tcBorders>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19.02.2018</w:t>
            </w:r>
          </w:p>
        </w:tc>
        <w:tc>
          <w:tcPr>
            <w:tcW w:w="389"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26</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15%</w:t>
            </w:r>
          </w:p>
        </w:tc>
        <w:tc>
          <w:tcPr>
            <w:tcW w:w="390"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32</w:t>
            </w:r>
          </w:p>
        </w:tc>
        <w:tc>
          <w:tcPr>
            <w:tcW w:w="387" w:type="pct"/>
            <w:tcBorders>
              <w:top w:val="nil"/>
              <w:left w:val="nil"/>
              <w:bottom w:val="nil"/>
              <w:right w:val="nil"/>
            </w:tcBorders>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19%</w:t>
            </w:r>
          </w:p>
        </w:tc>
      </w:tr>
      <w:tr w:rsidR="005046EB" w:rsidRPr="005046EB" w:rsidTr="005046EB">
        <w:trPr>
          <w:trHeight w:val="288"/>
        </w:trPr>
        <w:tc>
          <w:tcPr>
            <w:tcW w:w="1067" w:type="pct"/>
            <w:tcBorders>
              <w:top w:val="single" w:sz="8" w:space="0" w:color="4472C4"/>
              <w:left w:val="nil"/>
              <w:bottom w:val="double" w:sz="4" w:space="0" w:color="4472C4"/>
              <w:right w:val="nil"/>
            </w:tcBorders>
            <w:noWrap/>
            <w:vAlign w:val="center"/>
          </w:tcPr>
          <w:p w:rsidR="005046EB" w:rsidRPr="005046EB" w:rsidRDefault="005046EB" w:rsidP="005046EB">
            <w:pPr>
              <w:spacing w:after="0" w:line="240" w:lineRule="auto"/>
              <w:rPr>
                <w:rFonts w:ascii="Arial" w:eastAsia="Times New Roman" w:hAnsi="Arial" w:cs="Times New Roman"/>
                <w:bCs/>
                <w:color w:val="auto"/>
                <w:sz w:val="17"/>
                <w:szCs w:val="17"/>
                <w:lang w:val="pl-PL"/>
              </w:rPr>
            </w:pPr>
          </w:p>
        </w:tc>
        <w:tc>
          <w:tcPr>
            <w:tcW w:w="817"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Cs/>
                <w:color w:val="auto"/>
                <w:sz w:val="17"/>
                <w:szCs w:val="17"/>
                <w:lang w:val="pl-PL"/>
              </w:rPr>
            </w:pPr>
            <w:r w:rsidRPr="005046EB">
              <w:rPr>
                <w:rFonts w:ascii="Arial" w:eastAsia="Times New Roman" w:hAnsi="Arial" w:cs="Times New Roman"/>
                <w:bCs/>
                <w:color w:val="auto"/>
                <w:sz w:val="17"/>
                <w:szCs w:val="17"/>
                <w:lang w:val="pl-PL"/>
              </w:rPr>
              <w:t> </w:t>
            </w:r>
          </w:p>
        </w:tc>
        <w:tc>
          <w:tcPr>
            <w:tcW w:w="389"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1 219</w:t>
            </w:r>
          </w:p>
        </w:tc>
        <w:tc>
          <w:tcPr>
            <w:tcW w:w="39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6%</w:t>
            </w:r>
          </w:p>
        </w:tc>
        <w:tc>
          <w:tcPr>
            <w:tcW w:w="39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675</w:t>
            </w:r>
          </w:p>
        </w:tc>
        <w:tc>
          <w:tcPr>
            <w:tcW w:w="39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3%</w:t>
            </w:r>
          </w:p>
        </w:tc>
        <w:tc>
          <w:tcPr>
            <w:tcW w:w="39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432</w:t>
            </w:r>
          </w:p>
        </w:tc>
        <w:tc>
          <w:tcPr>
            <w:tcW w:w="39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2%</w:t>
            </w:r>
          </w:p>
        </w:tc>
        <w:tc>
          <w:tcPr>
            <w:tcW w:w="39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481</w:t>
            </w:r>
          </w:p>
        </w:tc>
        <w:tc>
          <w:tcPr>
            <w:tcW w:w="387"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Cs/>
                <w:color w:val="auto"/>
                <w:sz w:val="17"/>
                <w:szCs w:val="17"/>
                <w:lang w:val="pl-PL"/>
              </w:rPr>
            </w:pPr>
            <w:r w:rsidRPr="005046EB">
              <w:rPr>
                <w:rFonts w:ascii="Arial" w:eastAsia="SimSun" w:hAnsi="Arial" w:cs="Times New Roman"/>
                <w:b/>
                <w:bCs/>
                <w:color w:val="auto"/>
                <w:sz w:val="17"/>
                <w:szCs w:val="17"/>
                <w:lang w:val="pl-PL" w:eastAsia="zh-CN"/>
              </w:rPr>
              <w:t>2%</w:t>
            </w:r>
          </w:p>
        </w:tc>
      </w:tr>
    </w:tbl>
    <w:p w:rsidR="005046EB" w:rsidRPr="005046EB" w:rsidRDefault="005046EB" w:rsidP="005046EB">
      <w:pPr>
        <w:spacing w:before="240" w:after="120" w:line="288" w:lineRule="auto"/>
        <w:ind w:right="142"/>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latach 2019 i 2020 w skład wynagrodzenia członków Zarządu nie wchodziły świadczenia pieniężne lub niepieniężne przyznane na rzecz osób najbliższych. Pozycja „Inne świadczenia” może obejmować wartość ubezpieczenia medycznego dla członków rodziny.</w:t>
      </w:r>
    </w:p>
    <w:p w:rsidR="005046EB" w:rsidRPr="005046EB" w:rsidRDefault="005046EB" w:rsidP="005046EB">
      <w:pPr>
        <w:spacing w:after="120" w:line="288" w:lineRule="auto"/>
        <w:ind w:right="142"/>
        <w:rPr>
          <w:rFonts w:ascii="Arial" w:eastAsia="SimSun" w:hAnsi="Arial" w:cs="Times New Roman"/>
          <w:iCs/>
          <w:color w:val="auto"/>
          <w:sz w:val="23"/>
          <w:szCs w:val="23"/>
          <w:lang w:val="pl-PL" w:eastAsia="zh-CN"/>
        </w:rPr>
      </w:pPr>
    </w:p>
    <w:p w:rsidR="005046EB" w:rsidRPr="005046EB" w:rsidRDefault="005046EB" w:rsidP="005046EB">
      <w:pPr>
        <w:spacing w:after="0" w:line="256" w:lineRule="auto"/>
        <w:rPr>
          <w:rFonts w:ascii="Arial" w:eastAsia="SimSun" w:hAnsi="Arial" w:cs="Times New Roman"/>
          <w:iCs/>
          <w:color w:val="auto"/>
          <w:sz w:val="23"/>
          <w:szCs w:val="23"/>
          <w:lang w:val="pl-PL" w:eastAsia="zh-CN"/>
        </w:rPr>
        <w:sectPr w:rsidR="005046EB" w:rsidRPr="005046EB">
          <w:pgSz w:w="11906" w:h="16838"/>
          <w:pgMar w:top="1418" w:right="851" w:bottom="567" w:left="1276" w:header="708" w:footer="485" w:gutter="0"/>
          <w:cols w:space="720"/>
        </w:sectPr>
      </w:pPr>
    </w:p>
    <w:p w:rsidR="005046EB" w:rsidRPr="005046EB" w:rsidRDefault="005046EB" w:rsidP="005046EB">
      <w:pPr>
        <w:spacing w:after="120" w:line="288" w:lineRule="auto"/>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lastRenderedPageBreak/>
        <w:t>W poniższej tabeli przedstawiono wysokość całkowitego wynagrodzenia (w tys. PLN) wypłaconego w 2019 roku członkom Rady Nadzorczej Banku, w podziale na składniki oraz wzajemne proporcje (wyrażone jako % wynagrodzenia całkowitego) między tymi składnikami.</w:t>
      </w:r>
    </w:p>
    <w:tbl>
      <w:tblPr>
        <w:tblW w:w="5000" w:type="pct"/>
        <w:tblCellMar>
          <w:left w:w="57" w:type="dxa"/>
          <w:right w:w="28" w:type="dxa"/>
        </w:tblCellMar>
        <w:tblLook w:val="04A0" w:firstRow="1" w:lastRow="0" w:firstColumn="1" w:lastColumn="0" w:noHBand="0" w:noVBand="1"/>
      </w:tblPr>
      <w:tblGrid>
        <w:gridCol w:w="1663"/>
        <w:gridCol w:w="1276"/>
        <w:gridCol w:w="740"/>
        <w:gridCol w:w="741"/>
        <w:gridCol w:w="804"/>
        <w:gridCol w:w="807"/>
        <w:gridCol w:w="741"/>
        <w:gridCol w:w="741"/>
      </w:tblGrid>
      <w:tr w:rsidR="005046EB" w:rsidRPr="005046EB" w:rsidTr="005046EB">
        <w:trPr>
          <w:trHeight w:val="801"/>
        </w:trPr>
        <w:tc>
          <w:tcPr>
            <w:tcW w:w="1810" w:type="pct"/>
            <w:gridSpan w:val="2"/>
            <w:vMerge w:val="restart"/>
            <w:tcBorders>
              <w:top w:val="double" w:sz="2" w:space="0" w:color="4472C4"/>
              <w:left w:val="nil"/>
              <w:bottom w:val="single" w:sz="12" w:space="0" w:color="4472C4"/>
              <w:right w:val="nil"/>
            </w:tcBorders>
            <w:noWrap/>
            <w:tcMar>
              <w:top w:w="0" w:type="dxa"/>
              <w:left w:w="57" w:type="dxa"/>
              <w:bottom w:w="0" w:type="dxa"/>
              <w:right w:w="57" w:type="dxa"/>
            </w:tcMar>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1035" w:type="pct"/>
            <w:gridSpan w:val="2"/>
            <w:tcBorders>
              <w:top w:val="double" w:sz="2" w:space="0" w:color="4472C4"/>
              <w:left w:val="nil"/>
              <w:bottom w:val="single" w:sz="12" w:space="0" w:color="4472C4"/>
              <w:right w:val="nil"/>
            </w:tcBorders>
            <w:tcMar>
              <w:top w:w="0" w:type="dxa"/>
              <w:left w:w="57" w:type="dxa"/>
              <w:bottom w:w="0" w:type="dxa"/>
              <w:right w:w="57" w:type="dxa"/>
            </w:tcMar>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Wynagrodzenie za pełnioną funkcję</w:t>
            </w:r>
          </w:p>
        </w:tc>
        <w:tc>
          <w:tcPr>
            <w:tcW w:w="1121" w:type="pct"/>
            <w:gridSpan w:val="2"/>
            <w:tcBorders>
              <w:top w:val="double" w:sz="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Wynagrodzenie za udział w komitetach Rady Nadzorczej</w:t>
            </w:r>
          </w:p>
        </w:tc>
        <w:tc>
          <w:tcPr>
            <w:tcW w:w="1034" w:type="pct"/>
            <w:gridSpan w:val="2"/>
            <w:tcBorders>
              <w:top w:val="double" w:sz="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 xml:space="preserve">Zwrot </w:t>
            </w:r>
            <w:r w:rsidRPr="005046EB">
              <w:rPr>
                <w:rFonts w:ascii="Arial" w:eastAsia="Times New Roman" w:hAnsi="Arial" w:cs="Times New Roman"/>
                <w:b/>
                <w:bCs/>
                <w:color w:val="auto"/>
                <w:sz w:val="17"/>
                <w:szCs w:val="17"/>
                <w:lang w:val="pl-PL"/>
              </w:rPr>
              <w:br/>
              <w:t>składek ZUS</w:t>
            </w:r>
          </w:p>
        </w:tc>
      </w:tr>
      <w:tr w:rsidR="005046EB" w:rsidRPr="005046EB" w:rsidTr="005046EB">
        <w:trPr>
          <w:trHeight w:val="283"/>
        </w:trPr>
        <w:tc>
          <w:tcPr>
            <w:tcW w:w="0" w:type="auto"/>
            <w:gridSpan w:val="2"/>
            <w:vMerge/>
            <w:tcBorders>
              <w:top w:val="double" w:sz="2" w:space="0" w:color="4472C4"/>
              <w:left w:val="nil"/>
              <w:bottom w:val="single" w:sz="12" w:space="0" w:color="4472C4"/>
              <w:right w:val="nil"/>
            </w:tcBorders>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517" w:type="pct"/>
            <w:tcBorders>
              <w:top w:val="single" w:sz="12" w:space="0" w:color="4472C4"/>
              <w:left w:val="nil"/>
              <w:bottom w:val="single" w:sz="12"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518" w:type="pct"/>
            <w:tcBorders>
              <w:top w:val="single" w:sz="12" w:space="0" w:color="4472C4"/>
              <w:left w:val="nil"/>
              <w:bottom w:val="single" w:sz="12"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560"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561"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517"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517"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3"/>
        </w:trPr>
        <w:tc>
          <w:tcPr>
            <w:tcW w:w="1034"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Andrzej Olechowski</w:t>
            </w:r>
          </w:p>
        </w:tc>
        <w:tc>
          <w:tcPr>
            <w:tcW w:w="776"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17"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192</w:t>
            </w:r>
          </w:p>
        </w:tc>
        <w:tc>
          <w:tcPr>
            <w:tcW w:w="518"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48%</w:t>
            </w:r>
          </w:p>
        </w:tc>
        <w:tc>
          <w:tcPr>
            <w:tcW w:w="560"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210</w:t>
            </w:r>
          </w:p>
        </w:tc>
        <w:tc>
          <w:tcPr>
            <w:tcW w:w="561"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52%</w:t>
            </w:r>
          </w:p>
        </w:tc>
        <w:tc>
          <w:tcPr>
            <w:tcW w:w="517"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17"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Igor Chalupec</w:t>
            </w:r>
          </w:p>
        </w:tc>
        <w:tc>
          <w:tcPr>
            <w:tcW w:w="776"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1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w:t>
            </w:r>
          </w:p>
        </w:tc>
        <w:tc>
          <w:tcPr>
            <w:tcW w:w="51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35%</w:t>
            </w:r>
          </w:p>
        </w:tc>
        <w:tc>
          <w:tcPr>
            <w:tcW w:w="56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23</w:t>
            </w:r>
          </w:p>
        </w:tc>
        <w:tc>
          <w:tcPr>
            <w:tcW w:w="561"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65%</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Stanisław Sołtysiński</w:t>
            </w:r>
          </w:p>
        </w:tc>
        <w:tc>
          <w:tcPr>
            <w:tcW w:w="776"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1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1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44%</w:t>
            </w:r>
          </w:p>
        </w:tc>
        <w:tc>
          <w:tcPr>
            <w:tcW w:w="56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120</w:t>
            </w:r>
          </w:p>
        </w:tc>
        <w:tc>
          <w:tcPr>
            <w:tcW w:w="561"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56%</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Shirish Apte</w:t>
            </w:r>
          </w:p>
        </w:tc>
        <w:tc>
          <w:tcPr>
            <w:tcW w:w="776"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1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1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44%</w:t>
            </w:r>
          </w:p>
        </w:tc>
        <w:tc>
          <w:tcPr>
            <w:tcW w:w="56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120</w:t>
            </w:r>
          </w:p>
        </w:tc>
        <w:tc>
          <w:tcPr>
            <w:tcW w:w="561"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56%</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Marek Kapuściński</w:t>
            </w:r>
          </w:p>
        </w:tc>
        <w:tc>
          <w:tcPr>
            <w:tcW w:w="776"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1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1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34%</w:t>
            </w:r>
          </w:p>
        </w:tc>
        <w:tc>
          <w:tcPr>
            <w:tcW w:w="56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180</w:t>
            </w:r>
          </w:p>
        </w:tc>
        <w:tc>
          <w:tcPr>
            <w:tcW w:w="561"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64%</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7</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Anna Rulkiewicz</w:t>
            </w:r>
          </w:p>
        </w:tc>
        <w:tc>
          <w:tcPr>
            <w:tcW w:w="776"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od 05.06.2019</w:t>
            </w:r>
          </w:p>
        </w:tc>
        <w:tc>
          <w:tcPr>
            <w:tcW w:w="51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47</w:t>
            </w:r>
          </w:p>
        </w:tc>
        <w:tc>
          <w:tcPr>
            <w:tcW w:w="51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68%</w:t>
            </w:r>
          </w:p>
        </w:tc>
        <w:tc>
          <w:tcPr>
            <w:tcW w:w="56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22</w:t>
            </w:r>
          </w:p>
        </w:tc>
        <w:tc>
          <w:tcPr>
            <w:tcW w:w="561"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32%</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Smalska</w:t>
            </w:r>
          </w:p>
        </w:tc>
        <w:tc>
          <w:tcPr>
            <w:tcW w:w="776"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od 05.06.2019</w:t>
            </w:r>
          </w:p>
        </w:tc>
        <w:tc>
          <w:tcPr>
            <w:tcW w:w="51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47</w:t>
            </w:r>
          </w:p>
        </w:tc>
        <w:tc>
          <w:tcPr>
            <w:tcW w:w="51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55%</w:t>
            </w:r>
          </w:p>
        </w:tc>
        <w:tc>
          <w:tcPr>
            <w:tcW w:w="56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39</w:t>
            </w:r>
          </w:p>
        </w:tc>
        <w:tc>
          <w:tcPr>
            <w:tcW w:w="561"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45%</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810" w:type="pct"/>
            <w:gridSpan w:val="2"/>
            <w:shd w:val="clear" w:color="auto" w:fill="E7E6E6"/>
            <w:noWrap/>
            <w:vAlign w:val="center"/>
            <w:hideMark/>
          </w:tcPr>
          <w:p w:rsidR="005046EB" w:rsidRPr="005046EB" w:rsidRDefault="005046EB" w:rsidP="005046EB">
            <w:pPr>
              <w:spacing w:after="0" w:line="240" w:lineRule="auto"/>
              <w:rPr>
                <w:rFonts w:ascii="Arial" w:eastAsia="SimSun" w:hAnsi="Arial" w:cs="Times New Roman"/>
                <w:i/>
                <w:color w:val="auto"/>
                <w:sz w:val="17"/>
                <w:szCs w:val="17"/>
                <w:lang w:val="pl-PL" w:eastAsia="zh-CN"/>
              </w:rPr>
            </w:pPr>
            <w:r w:rsidRPr="005046EB">
              <w:rPr>
                <w:rFonts w:ascii="Arial" w:eastAsia="SimSun" w:hAnsi="Arial" w:cs="Times New Roman"/>
                <w:i/>
                <w:color w:val="auto"/>
                <w:sz w:val="17"/>
                <w:szCs w:val="17"/>
                <w:lang w:val="pl-PL" w:eastAsia="zh-CN"/>
              </w:rPr>
              <w:t>Byli członkowie Rady Nadzorczej</w:t>
            </w:r>
          </w:p>
        </w:tc>
        <w:tc>
          <w:tcPr>
            <w:tcW w:w="517" w:type="pct"/>
            <w:shd w:val="clear" w:color="auto" w:fill="E7E6E6"/>
            <w:noWrap/>
            <w:vAlign w:val="center"/>
          </w:tcPr>
          <w:p w:rsidR="005046EB" w:rsidRPr="005046EB" w:rsidRDefault="005046EB" w:rsidP="005046EB">
            <w:pPr>
              <w:spacing w:after="0" w:line="240" w:lineRule="auto"/>
              <w:jc w:val="right"/>
              <w:rPr>
                <w:rFonts w:ascii="Arial" w:eastAsia="SimSun" w:hAnsi="Arial" w:cs="Times New Roman"/>
                <w:i/>
                <w:color w:val="auto"/>
                <w:sz w:val="17"/>
                <w:szCs w:val="17"/>
                <w:lang w:val="pl-PL" w:eastAsia="zh-CN"/>
              </w:rPr>
            </w:pPr>
          </w:p>
        </w:tc>
        <w:tc>
          <w:tcPr>
            <w:tcW w:w="518" w:type="pct"/>
            <w:shd w:val="clear" w:color="auto" w:fill="E7E6E6"/>
            <w:noWrap/>
            <w:vAlign w:val="center"/>
          </w:tcPr>
          <w:p w:rsidR="005046EB" w:rsidRPr="005046EB" w:rsidRDefault="005046EB" w:rsidP="005046EB">
            <w:pPr>
              <w:spacing w:after="0" w:line="240" w:lineRule="auto"/>
              <w:jc w:val="right"/>
              <w:rPr>
                <w:rFonts w:ascii="Arial" w:eastAsia="SimSun" w:hAnsi="Arial" w:cs="Times New Roman"/>
                <w:i/>
                <w:color w:val="auto"/>
                <w:sz w:val="17"/>
                <w:szCs w:val="17"/>
                <w:lang w:val="pl-PL" w:eastAsia="zh-CN"/>
              </w:rPr>
            </w:pPr>
          </w:p>
        </w:tc>
        <w:tc>
          <w:tcPr>
            <w:tcW w:w="560" w:type="pct"/>
            <w:shd w:val="clear" w:color="auto" w:fill="E7E6E6"/>
            <w:vAlign w:val="center"/>
          </w:tcPr>
          <w:p w:rsidR="005046EB" w:rsidRPr="005046EB" w:rsidRDefault="005046EB" w:rsidP="005046EB">
            <w:pPr>
              <w:spacing w:after="0" w:line="240" w:lineRule="auto"/>
              <w:jc w:val="right"/>
              <w:rPr>
                <w:rFonts w:ascii="Arial" w:eastAsia="SimSun" w:hAnsi="Arial" w:cs="Times New Roman"/>
                <w:i/>
                <w:color w:val="auto"/>
                <w:sz w:val="17"/>
                <w:szCs w:val="17"/>
                <w:lang w:val="pl-PL" w:eastAsia="zh-CN"/>
              </w:rPr>
            </w:pPr>
          </w:p>
        </w:tc>
        <w:tc>
          <w:tcPr>
            <w:tcW w:w="561" w:type="pct"/>
            <w:shd w:val="clear" w:color="auto" w:fill="E7E6E6"/>
            <w:vAlign w:val="center"/>
          </w:tcPr>
          <w:p w:rsidR="005046EB" w:rsidRPr="005046EB" w:rsidRDefault="005046EB" w:rsidP="005046EB">
            <w:pPr>
              <w:spacing w:after="0" w:line="240" w:lineRule="auto"/>
              <w:jc w:val="right"/>
              <w:rPr>
                <w:rFonts w:ascii="Arial" w:eastAsia="SimSun" w:hAnsi="Arial" w:cs="Times New Roman"/>
                <w:i/>
                <w:color w:val="auto"/>
                <w:sz w:val="17"/>
                <w:szCs w:val="17"/>
                <w:lang w:val="pl-PL" w:eastAsia="zh-CN"/>
              </w:rPr>
            </w:pPr>
          </w:p>
        </w:tc>
        <w:tc>
          <w:tcPr>
            <w:tcW w:w="517" w:type="pct"/>
            <w:shd w:val="clear" w:color="auto" w:fill="E7E6E6"/>
            <w:vAlign w:val="center"/>
          </w:tcPr>
          <w:p w:rsidR="005046EB" w:rsidRPr="005046EB" w:rsidRDefault="005046EB" w:rsidP="005046EB">
            <w:pPr>
              <w:spacing w:after="0" w:line="240" w:lineRule="auto"/>
              <w:jc w:val="right"/>
              <w:rPr>
                <w:rFonts w:ascii="Arial" w:eastAsia="SimSun" w:hAnsi="Arial" w:cs="Times New Roman"/>
                <w:i/>
                <w:color w:val="auto"/>
                <w:sz w:val="17"/>
                <w:szCs w:val="17"/>
                <w:lang w:val="pl-PL" w:eastAsia="zh-CN"/>
              </w:rPr>
            </w:pPr>
          </w:p>
        </w:tc>
        <w:tc>
          <w:tcPr>
            <w:tcW w:w="517" w:type="pct"/>
            <w:shd w:val="clear" w:color="auto" w:fill="E7E6E6"/>
            <w:vAlign w:val="center"/>
          </w:tcPr>
          <w:p w:rsidR="005046EB" w:rsidRPr="005046EB" w:rsidRDefault="005046EB" w:rsidP="005046EB">
            <w:pPr>
              <w:spacing w:after="0" w:line="240" w:lineRule="auto"/>
              <w:jc w:val="right"/>
              <w:rPr>
                <w:rFonts w:ascii="Arial" w:eastAsia="SimSun" w:hAnsi="Arial" w:cs="Times New Roman"/>
                <w:i/>
                <w:color w:val="auto"/>
                <w:sz w:val="17"/>
                <w:szCs w:val="17"/>
                <w:lang w:val="pl-PL" w:eastAsia="zh-CN"/>
              </w:rPr>
            </w:pP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Marek Belka</w:t>
            </w:r>
          </w:p>
        </w:tc>
        <w:tc>
          <w:tcPr>
            <w:tcW w:w="776"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04.06.2019</w:t>
            </w:r>
          </w:p>
        </w:tc>
        <w:tc>
          <w:tcPr>
            <w:tcW w:w="517" w:type="pct"/>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36</w:t>
            </w:r>
          </w:p>
        </w:tc>
        <w:tc>
          <w:tcPr>
            <w:tcW w:w="518" w:type="pct"/>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39%</w:t>
            </w:r>
          </w:p>
        </w:tc>
        <w:tc>
          <w:tcPr>
            <w:tcW w:w="560"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56</w:t>
            </w:r>
          </w:p>
        </w:tc>
        <w:tc>
          <w:tcPr>
            <w:tcW w:w="561"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61%</w:t>
            </w:r>
          </w:p>
        </w:tc>
        <w:tc>
          <w:tcPr>
            <w:tcW w:w="517"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034"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Grzegorz Bielicki</w:t>
            </w:r>
          </w:p>
        </w:tc>
        <w:tc>
          <w:tcPr>
            <w:tcW w:w="776" w:type="pct"/>
            <w:noWrap/>
            <w:vAlign w:val="center"/>
            <w:hideMark/>
          </w:tcPr>
          <w:p w:rsidR="005046EB" w:rsidRPr="005046EB" w:rsidRDefault="005046EB" w:rsidP="005046EB">
            <w:pPr>
              <w:spacing w:after="0" w:line="240" w:lineRule="auto"/>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 do 04.06.2019</w:t>
            </w:r>
          </w:p>
        </w:tc>
        <w:tc>
          <w:tcPr>
            <w:tcW w:w="517" w:type="pct"/>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49</w:t>
            </w:r>
          </w:p>
        </w:tc>
        <w:tc>
          <w:tcPr>
            <w:tcW w:w="518" w:type="pct"/>
            <w:noWrap/>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31%</w:t>
            </w:r>
          </w:p>
        </w:tc>
        <w:tc>
          <w:tcPr>
            <w:tcW w:w="560"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107</w:t>
            </w:r>
          </w:p>
        </w:tc>
        <w:tc>
          <w:tcPr>
            <w:tcW w:w="561"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69%</w:t>
            </w:r>
          </w:p>
        </w:tc>
        <w:tc>
          <w:tcPr>
            <w:tcW w:w="517"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c>
          <w:tcPr>
            <w:tcW w:w="517" w:type="pct"/>
            <w:vAlign w:val="center"/>
            <w:hideMark/>
          </w:tcPr>
          <w:p w:rsidR="005046EB" w:rsidRPr="005046EB" w:rsidRDefault="005046EB" w:rsidP="005046EB">
            <w:pPr>
              <w:spacing w:after="0" w:line="240" w:lineRule="auto"/>
              <w:jc w:val="right"/>
              <w:rPr>
                <w:rFonts w:ascii="Arial" w:eastAsia="SimSun" w:hAnsi="Arial" w:cs="Times New Roman"/>
                <w:color w:val="auto"/>
                <w:sz w:val="17"/>
                <w:szCs w:val="17"/>
                <w:lang w:val="pl-PL" w:eastAsia="zh-CN"/>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810" w:type="pct"/>
            <w:gridSpan w:val="2"/>
            <w:tcBorders>
              <w:top w:val="single" w:sz="12" w:space="0" w:color="4472C4"/>
              <w:left w:val="nil"/>
              <w:bottom w:val="double" w:sz="2"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 </w:t>
            </w:r>
          </w:p>
        </w:tc>
        <w:tc>
          <w:tcPr>
            <w:tcW w:w="517" w:type="pct"/>
            <w:tcBorders>
              <w:top w:val="single" w:sz="12" w:space="0" w:color="4472C4"/>
              <w:left w:val="nil"/>
              <w:bottom w:val="double" w:sz="2"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671</w:t>
            </w:r>
          </w:p>
        </w:tc>
        <w:tc>
          <w:tcPr>
            <w:tcW w:w="518" w:type="pct"/>
            <w:tcBorders>
              <w:top w:val="single" w:sz="12" w:space="0" w:color="4472C4"/>
              <w:left w:val="nil"/>
              <w:bottom w:val="double" w:sz="2"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43%</w:t>
            </w:r>
          </w:p>
        </w:tc>
        <w:tc>
          <w:tcPr>
            <w:tcW w:w="560"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877</w:t>
            </w:r>
          </w:p>
        </w:tc>
        <w:tc>
          <w:tcPr>
            <w:tcW w:w="561"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56%</w:t>
            </w:r>
          </w:p>
        </w:tc>
        <w:tc>
          <w:tcPr>
            <w:tcW w:w="517"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8</w:t>
            </w:r>
          </w:p>
        </w:tc>
        <w:tc>
          <w:tcPr>
            <w:tcW w:w="517"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0%</w:t>
            </w:r>
          </w:p>
        </w:tc>
      </w:tr>
    </w:tbl>
    <w:p w:rsidR="005046EB" w:rsidRPr="005046EB" w:rsidRDefault="005046EB" w:rsidP="005046EB">
      <w:pPr>
        <w:spacing w:before="120" w:after="120" w:line="288" w:lineRule="auto"/>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 xml:space="preserve">W 2019 roku Członkom Rady Nadzorczej nie zostało przyznawane wynagrodzenie zmienne. Pozostali członkowie Rady Nadzorczej nie otrzymali wynagrodzenia w 2019 roku. </w:t>
      </w:r>
    </w:p>
    <w:p w:rsidR="005046EB" w:rsidRPr="005046EB" w:rsidRDefault="005046EB" w:rsidP="005046EB">
      <w:pPr>
        <w:spacing w:after="120" w:line="288" w:lineRule="auto"/>
        <w:rPr>
          <w:rFonts w:ascii="Arial" w:eastAsia="SimSun" w:hAnsi="Arial" w:cs="Times New Roman"/>
          <w:iCs/>
          <w:color w:val="auto"/>
          <w:sz w:val="23"/>
          <w:szCs w:val="23"/>
          <w:lang w:val="pl-PL" w:eastAsia="zh-CN"/>
        </w:rPr>
      </w:pPr>
    </w:p>
    <w:p w:rsidR="005046EB" w:rsidRPr="005046EB" w:rsidRDefault="005046EB" w:rsidP="005046EB">
      <w:pPr>
        <w:spacing w:after="120" w:line="288" w:lineRule="auto"/>
        <w:rPr>
          <w:rFonts w:ascii="Arial" w:eastAsia="SimSun" w:hAnsi="Arial" w:cs="Times New Roman"/>
          <w:iCs/>
          <w:color w:val="auto"/>
          <w:sz w:val="23"/>
          <w:szCs w:val="23"/>
          <w:lang w:val="pl-PL" w:eastAsia="zh-CN"/>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p>
    <w:p w:rsidR="005046EB" w:rsidRPr="005046EB" w:rsidRDefault="005046EB" w:rsidP="005046EB">
      <w:pPr>
        <w:spacing w:line="256" w:lineRule="auto"/>
        <w:rPr>
          <w:rFonts w:ascii="Arial" w:eastAsia="SimSun" w:hAnsi="Arial" w:cs="Times New Roman"/>
          <w:iCs/>
          <w:color w:val="auto"/>
          <w:sz w:val="23"/>
          <w:szCs w:val="23"/>
          <w:lang w:val="pl-PL" w:eastAsia="en-GB"/>
        </w:rPr>
      </w:pPr>
    </w:p>
    <w:p w:rsidR="005046EB" w:rsidRPr="005046EB" w:rsidRDefault="005046EB" w:rsidP="005046EB">
      <w:pPr>
        <w:spacing w:after="120" w:line="288" w:lineRule="auto"/>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poniższej tabeli przedstawiono wysokość całkowitego wynagrodzenia (w tys. PLN) wypłaconego w 2020 roku członkom Rady Nadzorczej Banku, w podziale na składniki oraz wzajemne proporcje (wyrażone jako % wynagrodzenia całkowitego) między tymi składnikami.</w:t>
      </w:r>
    </w:p>
    <w:tbl>
      <w:tblPr>
        <w:tblW w:w="4800" w:type="pct"/>
        <w:tblCellMar>
          <w:left w:w="57" w:type="dxa"/>
          <w:right w:w="57" w:type="dxa"/>
        </w:tblCellMar>
        <w:tblLook w:val="04A0" w:firstRow="1" w:lastRow="0" w:firstColumn="1" w:lastColumn="0" w:noHBand="0" w:noVBand="1"/>
      </w:tblPr>
      <w:tblGrid>
        <w:gridCol w:w="1692"/>
        <w:gridCol w:w="478"/>
        <w:gridCol w:w="829"/>
        <w:gridCol w:w="831"/>
        <w:gridCol w:w="916"/>
        <w:gridCol w:w="916"/>
        <w:gridCol w:w="774"/>
        <w:gridCol w:w="776"/>
      </w:tblGrid>
      <w:tr w:rsidR="005046EB" w:rsidRPr="005046EB" w:rsidTr="005046EB">
        <w:trPr>
          <w:trHeight w:val="799"/>
        </w:trPr>
        <w:tc>
          <w:tcPr>
            <w:tcW w:w="1492" w:type="pct"/>
            <w:gridSpan w:val="2"/>
            <w:tcBorders>
              <w:top w:val="double" w:sz="2" w:space="0" w:color="4472C4"/>
              <w:left w:val="nil"/>
              <w:bottom w:val="single" w:sz="12" w:space="0" w:color="4472C4"/>
              <w:right w:val="nil"/>
            </w:tcBorders>
            <w:noWrap/>
            <w:vAlign w:val="center"/>
            <w:hideMark/>
          </w:tcPr>
          <w:p w:rsidR="005046EB" w:rsidRPr="005046EB" w:rsidRDefault="005046EB" w:rsidP="005046EB">
            <w:pPr>
              <w:spacing w:after="0" w:line="240" w:lineRule="auto"/>
              <w:rPr>
                <w:rFonts w:ascii="Arial" w:eastAsia="SimSun" w:hAnsi="Arial" w:cs="Times New Roman"/>
                <w:iCs/>
                <w:color w:val="auto"/>
                <w:sz w:val="20"/>
                <w:szCs w:val="20"/>
                <w:lang w:val="pl-PL" w:eastAsia="zh-CN"/>
              </w:rPr>
            </w:pPr>
          </w:p>
        </w:tc>
        <w:tc>
          <w:tcPr>
            <w:tcW w:w="1155" w:type="pct"/>
            <w:gridSpan w:val="2"/>
            <w:tcBorders>
              <w:top w:val="double" w:sz="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Wynagrodzenie za pełnioną funkcję</w:t>
            </w:r>
          </w:p>
        </w:tc>
        <w:tc>
          <w:tcPr>
            <w:tcW w:w="1274" w:type="pct"/>
            <w:gridSpan w:val="2"/>
            <w:tcBorders>
              <w:top w:val="double" w:sz="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Wynagrodzenie za udział w komitetach Rady Nadzorczej</w:t>
            </w:r>
          </w:p>
        </w:tc>
        <w:tc>
          <w:tcPr>
            <w:tcW w:w="1079" w:type="pct"/>
            <w:gridSpan w:val="2"/>
            <w:tcBorders>
              <w:top w:val="double" w:sz="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 xml:space="preserve">Zwrot </w:t>
            </w:r>
            <w:r w:rsidRPr="005046EB">
              <w:rPr>
                <w:rFonts w:ascii="Arial" w:eastAsia="Times New Roman" w:hAnsi="Arial" w:cs="Times New Roman"/>
                <w:b/>
                <w:bCs/>
                <w:color w:val="auto"/>
                <w:sz w:val="17"/>
                <w:szCs w:val="17"/>
                <w:lang w:val="pl-PL"/>
              </w:rPr>
              <w:br/>
              <w:t>składek ZUS</w:t>
            </w:r>
          </w:p>
        </w:tc>
      </w:tr>
      <w:tr w:rsidR="005046EB" w:rsidRPr="005046EB" w:rsidTr="005046EB">
        <w:trPr>
          <w:trHeight w:val="283"/>
        </w:trPr>
        <w:tc>
          <w:tcPr>
            <w:tcW w:w="1492" w:type="pct"/>
            <w:gridSpan w:val="2"/>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rPr>
                <w:rFonts w:ascii="Arial" w:eastAsia="Times New Roman" w:hAnsi="Arial" w:cs="Times New Roman"/>
                <w:b/>
                <w:bCs/>
                <w:color w:val="auto"/>
                <w:sz w:val="17"/>
                <w:szCs w:val="17"/>
                <w:lang w:val="pl-PL"/>
              </w:rPr>
            </w:pPr>
          </w:p>
        </w:tc>
        <w:tc>
          <w:tcPr>
            <w:tcW w:w="577" w:type="pct"/>
            <w:tcBorders>
              <w:top w:val="single" w:sz="12" w:space="0" w:color="4472C4"/>
              <w:left w:val="nil"/>
              <w:bottom w:val="single" w:sz="12"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578" w:type="pct"/>
            <w:tcBorders>
              <w:top w:val="single" w:sz="12" w:space="0" w:color="4472C4"/>
              <w:left w:val="nil"/>
              <w:bottom w:val="single" w:sz="12" w:space="0" w:color="4472C4"/>
              <w:right w:val="nil"/>
            </w:tcBorders>
            <w:noWrap/>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637"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637"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c>
          <w:tcPr>
            <w:tcW w:w="539"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wartość</w:t>
            </w:r>
          </w:p>
        </w:tc>
        <w:tc>
          <w:tcPr>
            <w:tcW w:w="540" w:type="pct"/>
            <w:tcBorders>
              <w:top w:val="single" w:sz="12"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color w:val="auto"/>
                <w:sz w:val="17"/>
                <w:szCs w:val="17"/>
                <w:lang w:val="pl-PL"/>
              </w:rPr>
            </w:pPr>
            <w:r w:rsidRPr="005046EB">
              <w:rPr>
                <w:rFonts w:ascii="Arial" w:eastAsia="Times New Roman" w:hAnsi="Arial" w:cs="Times New Roman"/>
                <w:b/>
                <w:bCs/>
                <w:color w:val="auto"/>
                <w:sz w:val="17"/>
                <w:szCs w:val="17"/>
                <w:lang w:val="pl-PL"/>
              </w:rPr>
              <w:t>udział</w:t>
            </w:r>
          </w:p>
        </w:tc>
      </w:tr>
      <w:tr w:rsidR="005046EB" w:rsidRPr="005046EB" w:rsidTr="005046EB">
        <w:trPr>
          <w:trHeight w:val="283"/>
        </w:trPr>
        <w:tc>
          <w:tcPr>
            <w:tcW w:w="1158"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Andrzej Olechowski</w:t>
            </w:r>
          </w:p>
        </w:tc>
        <w:tc>
          <w:tcPr>
            <w:tcW w:w="334" w:type="pct"/>
            <w:tcBorders>
              <w:top w:val="single" w:sz="12" w:space="0" w:color="4472C4"/>
              <w:left w:val="nil"/>
              <w:bottom w:val="nil"/>
              <w:right w:val="nil"/>
            </w:tcBorders>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192</w:t>
            </w:r>
          </w:p>
        </w:tc>
        <w:tc>
          <w:tcPr>
            <w:tcW w:w="578"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48%</w:t>
            </w:r>
          </w:p>
        </w:tc>
        <w:tc>
          <w:tcPr>
            <w:tcW w:w="637"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210</w:t>
            </w:r>
          </w:p>
        </w:tc>
        <w:tc>
          <w:tcPr>
            <w:tcW w:w="637"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52%</w:t>
            </w:r>
          </w:p>
        </w:tc>
        <w:tc>
          <w:tcPr>
            <w:tcW w:w="539"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40" w:type="pct"/>
            <w:tcBorders>
              <w:top w:val="single" w:sz="12" w:space="0" w:color="4472C4"/>
              <w:left w:val="nil"/>
              <w:bottom w:val="nil"/>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15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Igor Chalupec</w:t>
            </w:r>
          </w:p>
        </w:tc>
        <w:tc>
          <w:tcPr>
            <w:tcW w:w="334" w:type="pct"/>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7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34%</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180</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63%</w:t>
            </w:r>
          </w:p>
        </w:tc>
        <w:tc>
          <w:tcPr>
            <w:tcW w:w="539"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w:t>
            </w:r>
          </w:p>
        </w:tc>
        <w:tc>
          <w:tcPr>
            <w:tcW w:w="54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r>
      <w:tr w:rsidR="005046EB" w:rsidRPr="005046EB" w:rsidTr="005046EB">
        <w:trPr>
          <w:trHeight w:val="283"/>
        </w:trPr>
        <w:tc>
          <w:tcPr>
            <w:tcW w:w="115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Stanisław Sołtysiński</w:t>
            </w:r>
          </w:p>
        </w:tc>
        <w:tc>
          <w:tcPr>
            <w:tcW w:w="334" w:type="pct"/>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7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44%</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120</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56%</w:t>
            </w:r>
          </w:p>
        </w:tc>
        <w:tc>
          <w:tcPr>
            <w:tcW w:w="539"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4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15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Shirish Apte</w:t>
            </w:r>
          </w:p>
        </w:tc>
        <w:tc>
          <w:tcPr>
            <w:tcW w:w="334" w:type="pct"/>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7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44%</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120</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56%</w:t>
            </w:r>
          </w:p>
        </w:tc>
        <w:tc>
          <w:tcPr>
            <w:tcW w:w="539"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4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15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Marek Kapuściński</w:t>
            </w:r>
          </w:p>
        </w:tc>
        <w:tc>
          <w:tcPr>
            <w:tcW w:w="334" w:type="pct"/>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7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34%</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180</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64%</w:t>
            </w:r>
          </w:p>
        </w:tc>
        <w:tc>
          <w:tcPr>
            <w:tcW w:w="539"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w:t>
            </w:r>
          </w:p>
        </w:tc>
        <w:tc>
          <w:tcPr>
            <w:tcW w:w="54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w:t>
            </w:r>
          </w:p>
        </w:tc>
      </w:tr>
      <w:tr w:rsidR="005046EB" w:rsidRPr="005046EB" w:rsidTr="005046EB">
        <w:trPr>
          <w:trHeight w:val="283"/>
        </w:trPr>
        <w:tc>
          <w:tcPr>
            <w:tcW w:w="1158" w:type="pct"/>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Anna Rulkiewicz</w:t>
            </w:r>
          </w:p>
        </w:tc>
        <w:tc>
          <w:tcPr>
            <w:tcW w:w="334" w:type="pct"/>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78" w:type="pct"/>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43%</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120</w:t>
            </w:r>
          </w:p>
        </w:tc>
        <w:tc>
          <w:tcPr>
            <w:tcW w:w="637"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54%</w:t>
            </w:r>
          </w:p>
        </w:tc>
        <w:tc>
          <w:tcPr>
            <w:tcW w:w="539"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8</w:t>
            </w:r>
          </w:p>
        </w:tc>
        <w:tc>
          <w:tcPr>
            <w:tcW w:w="540" w:type="pct"/>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4%</w:t>
            </w:r>
          </w:p>
        </w:tc>
      </w:tr>
      <w:tr w:rsidR="005046EB" w:rsidRPr="005046EB" w:rsidTr="005046EB">
        <w:trPr>
          <w:trHeight w:val="283"/>
        </w:trPr>
        <w:tc>
          <w:tcPr>
            <w:tcW w:w="1158" w:type="pct"/>
            <w:tcBorders>
              <w:top w:val="nil"/>
              <w:left w:val="nil"/>
              <w:bottom w:val="single" w:sz="12"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Barbara Smalska</w:t>
            </w:r>
          </w:p>
        </w:tc>
        <w:tc>
          <w:tcPr>
            <w:tcW w:w="334" w:type="pct"/>
            <w:tcBorders>
              <w:top w:val="nil"/>
              <w:left w:val="nil"/>
              <w:bottom w:val="single" w:sz="12" w:space="0" w:color="4472C4"/>
              <w:right w:val="nil"/>
            </w:tcBorders>
            <w:noWrap/>
            <w:vAlign w:val="bottom"/>
            <w:hideMark/>
          </w:tcPr>
          <w:p w:rsidR="005046EB" w:rsidRPr="005046EB" w:rsidRDefault="005046EB" w:rsidP="005046EB">
            <w:pPr>
              <w:spacing w:after="0" w:line="240" w:lineRule="auto"/>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 </w:t>
            </w:r>
          </w:p>
        </w:tc>
        <w:tc>
          <w:tcPr>
            <w:tcW w:w="577" w:type="pct"/>
            <w:tcBorders>
              <w:top w:val="nil"/>
              <w:left w:val="nil"/>
              <w:bottom w:val="single" w:sz="12"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96</w:t>
            </w:r>
          </w:p>
        </w:tc>
        <w:tc>
          <w:tcPr>
            <w:tcW w:w="578" w:type="pct"/>
            <w:tcBorders>
              <w:top w:val="nil"/>
              <w:left w:val="nil"/>
              <w:bottom w:val="single" w:sz="12"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31%</w:t>
            </w:r>
          </w:p>
        </w:tc>
        <w:tc>
          <w:tcPr>
            <w:tcW w:w="637" w:type="pct"/>
            <w:tcBorders>
              <w:top w:val="nil"/>
              <w:left w:val="nil"/>
              <w:bottom w:val="single" w:sz="1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210</w:t>
            </w:r>
          </w:p>
        </w:tc>
        <w:tc>
          <w:tcPr>
            <w:tcW w:w="637" w:type="pct"/>
            <w:tcBorders>
              <w:top w:val="nil"/>
              <w:left w:val="nil"/>
              <w:bottom w:val="single" w:sz="1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69%</w:t>
            </w:r>
          </w:p>
        </w:tc>
        <w:tc>
          <w:tcPr>
            <w:tcW w:w="539" w:type="pct"/>
            <w:tcBorders>
              <w:top w:val="nil"/>
              <w:left w:val="nil"/>
              <w:bottom w:val="single" w:sz="1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c>
          <w:tcPr>
            <w:tcW w:w="540" w:type="pct"/>
            <w:tcBorders>
              <w:top w:val="nil"/>
              <w:left w:val="nil"/>
              <w:bottom w:val="single" w:sz="1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color w:val="auto"/>
                <w:sz w:val="17"/>
                <w:szCs w:val="17"/>
                <w:lang w:val="pl-PL"/>
              </w:rPr>
            </w:pPr>
            <w:r w:rsidRPr="005046EB">
              <w:rPr>
                <w:rFonts w:ascii="Arial" w:eastAsia="SimSun" w:hAnsi="Arial" w:cs="Times New Roman"/>
                <w:color w:val="auto"/>
                <w:sz w:val="17"/>
                <w:szCs w:val="17"/>
                <w:lang w:val="pl-PL" w:eastAsia="zh-CN"/>
              </w:rPr>
              <w:t>0%</w:t>
            </w:r>
          </w:p>
        </w:tc>
      </w:tr>
      <w:tr w:rsidR="005046EB" w:rsidRPr="005046EB" w:rsidTr="005046EB">
        <w:trPr>
          <w:trHeight w:val="283"/>
        </w:trPr>
        <w:tc>
          <w:tcPr>
            <w:tcW w:w="1492" w:type="pct"/>
            <w:gridSpan w:val="2"/>
            <w:tcBorders>
              <w:top w:val="single" w:sz="12" w:space="0" w:color="4472C4"/>
              <w:left w:val="nil"/>
              <w:bottom w:val="double" w:sz="2"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color w:val="auto"/>
                <w:sz w:val="17"/>
                <w:szCs w:val="17"/>
                <w:lang w:val="pl-PL"/>
              </w:rPr>
            </w:pPr>
            <w:r w:rsidRPr="005046EB">
              <w:rPr>
                <w:rFonts w:ascii="Arial" w:eastAsia="SimSun" w:hAnsi="Arial" w:cs="Times New Roman"/>
                <w:b/>
                <w:bCs/>
                <w:sz w:val="17"/>
                <w:szCs w:val="17"/>
                <w:lang w:val="pl-PL" w:eastAsia="zh-CN"/>
              </w:rPr>
              <w:t> </w:t>
            </w:r>
          </w:p>
        </w:tc>
        <w:tc>
          <w:tcPr>
            <w:tcW w:w="577" w:type="pct"/>
            <w:tcBorders>
              <w:top w:val="single" w:sz="12" w:space="0" w:color="4472C4"/>
              <w:left w:val="nil"/>
              <w:bottom w:val="double" w:sz="2"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sz w:val="17"/>
                <w:szCs w:val="17"/>
                <w:lang w:val="pl-PL" w:eastAsia="zh-CN"/>
              </w:rPr>
              <w:t>768</w:t>
            </w:r>
          </w:p>
        </w:tc>
        <w:tc>
          <w:tcPr>
            <w:tcW w:w="578" w:type="pct"/>
            <w:tcBorders>
              <w:top w:val="single" w:sz="12" w:space="0" w:color="4472C4"/>
              <w:left w:val="nil"/>
              <w:bottom w:val="double" w:sz="2"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40%</w:t>
            </w:r>
          </w:p>
        </w:tc>
        <w:tc>
          <w:tcPr>
            <w:tcW w:w="637"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sz w:val="17"/>
                <w:szCs w:val="17"/>
                <w:lang w:val="pl-PL" w:eastAsia="zh-CN"/>
              </w:rPr>
              <w:t>1 140</w:t>
            </w:r>
          </w:p>
        </w:tc>
        <w:tc>
          <w:tcPr>
            <w:tcW w:w="637"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59%</w:t>
            </w:r>
          </w:p>
        </w:tc>
        <w:tc>
          <w:tcPr>
            <w:tcW w:w="539"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sz w:val="17"/>
                <w:szCs w:val="17"/>
                <w:lang w:val="pl-PL" w:eastAsia="zh-CN"/>
              </w:rPr>
              <w:t>20</w:t>
            </w:r>
          </w:p>
        </w:tc>
        <w:tc>
          <w:tcPr>
            <w:tcW w:w="540" w:type="pct"/>
            <w:tcBorders>
              <w:top w:val="single" w:sz="12" w:space="0" w:color="4472C4"/>
              <w:left w:val="nil"/>
              <w:bottom w:val="double" w:sz="2" w:space="0" w:color="4472C4"/>
              <w:right w:val="nil"/>
            </w:tcBorders>
            <w:vAlign w:val="center"/>
            <w:hideMark/>
          </w:tcPr>
          <w:p w:rsidR="005046EB" w:rsidRPr="005046EB" w:rsidRDefault="005046EB" w:rsidP="005046EB">
            <w:pPr>
              <w:spacing w:after="0" w:line="240" w:lineRule="auto"/>
              <w:jc w:val="right"/>
              <w:rPr>
                <w:rFonts w:ascii="Arial" w:eastAsia="Times New Roman" w:hAnsi="Arial" w:cs="Times New Roman"/>
                <w:b/>
                <w:bCs/>
                <w:color w:val="auto"/>
                <w:sz w:val="17"/>
                <w:szCs w:val="17"/>
                <w:lang w:val="pl-PL"/>
              </w:rPr>
            </w:pPr>
            <w:r w:rsidRPr="005046EB">
              <w:rPr>
                <w:rFonts w:ascii="Arial" w:eastAsia="SimSun" w:hAnsi="Arial" w:cs="Times New Roman"/>
                <w:b/>
                <w:bCs/>
                <w:color w:val="auto"/>
                <w:sz w:val="17"/>
                <w:szCs w:val="17"/>
                <w:lang w:val="pl-PL" w:eastAsia="zh-CN"/>
              </w:rPr>
              <w:t>1%</w:t>
            </w:r>
          </w:p>
        </w:tc>
      </w:tr>
    </w:tbl>
    <w:p w:rsidR="005046EB" w:rsidRPr="005046EB" w:rsidRDefault="005046EB" w:rsidP="005046EB">
      <w:pPr>
        <w:spacing w:before="120" w:after="120" w:line="288" w:lineRule="auto"/>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 xml:space="preserve">W 2020 roku członkom Rady Nadzorczej nie zostało przyznawane wynagrodzenie zmienne. Pozostali członkowie Rady Nadzorczej nie otrzymali wynagrodzenia w 2020 roku. </w:t>
      </w:r>
    </w:p>
    <w:p w:rsidR="005046EB" w:rsidRPr="005046EB" w:rsidRDefault="005046EB" w:rsidP="005046EB">
      <w:pPr>
        <w:spacing w:before="120" w:after="120" w:line="288" w:lineRule="auto"/>
        <w:jc w:val="both"/>
        <w:rPr>
          <w:rFonts w:ascii="Arial" w:eastAsia="SimSun" w:hAnsi="Arial" w:cs="Times New Roman"/>
          <w:iCs/>
          <w:color w:val="auto"/>
          <w:sz w:val="20"/>
          <w:szCs w:val="20"/>
          <w:lang w:val="pl-PL" w:eastAsia="zh-CN"/>
        </w:rPr>
      </w:pPr>
      <w:r w:rsidRPr="005046EB">
        <w:rPr>
          <w:rFonts w:ascii="Arial" w:eastAsia="SimSun" w:hAnsi="Arial" w:cs="Times New Roman"/>
          <w:iCs/>
          <w:color w:val="auto"/>
          <w:sz w:val="20"/>
          <w:szCs w:val="20"/>
          <w:lang w:val="pl-PL" w:eastAsia="zh-CN"/>
        </w:rPr>
        <w:t>W latach 2019 i 2020 w skład wynagrodzenia członków Zarządu nie wchodziły świadczenia pieniężne lub niepieniężne przyznane na rzecz osób najbliższych.</w:t>
      </w:r>
    </w:p>
    <w:p w:rsidR="005046EB" w:rsidRPr="005046EB" w:rsidRDefault="005046EB" w:rsidP="005046EB">
      <w:pPr>
        <w:autoSpaceDE w:val="0"/>
        <w:autoSpaceDN w:val="0"/>
        <w:adjustRightInd w:val="0"/>
        <w:spacing w:before="120" w:after="120" w:line="240" w:lineRule="auto"/>
        <w:rPr>
          <w:rFonts w:ascii="Arial" w:eastAsia="Times New Roman" w:hAnsi="Arial" w:cs="Arial"/>
          <w:sz w:val="23"/>
          <w:szCs w:val="23"/>
          <w:lang w:val="pl-PL"/>
        </w:rPr>
      </w:pPr>
    </w:p>
    <w:p w:rsidR="005046EB" w:rsidRPr="005046EB" w:rsidRDefault="005046EB" w:rsidP="005046EB">
      <w:pPr>
        <w:autoSpaceDE w:val="0"/>
        <w:autoSpaceDN w:val="0"/>
        <w:adjustRightInd w:val="0"/>
        <w:spacing w:after="120" w:line="240" w:lineRule="auto"/>
        <w:ind w:left="426"/>
        <w:rPr>
          <w:rFonts w:ascii="Arial" w:eastAsia="Times New Roman" w:hAnsi="Arial" w:cs="Arial"/>
          <w:sz w:val="23"/>
          <w:szCs w:val="23"/>
          <w:lang w:val="pl-PL"/>
        </w:rPr>
      </w:pPr>
    </w:p>
    <w:p w:rsidR="005046EB" w:rsidRPr="005046EB" w:rsidRDefault="005046EB" w:rsidP="005046EB">
      <w:pPr>
        <w:spacing w:after="0" w:line="240" w:lineRule="auto"/>
        <w:rPr>
          <w:rFonts w:ascii="Arial" w:eastAsia="Times New Roman" w:hAnsi="Arial" w:cs="Arial"/>
          <w:sz w:val="23"/>
          <w:szCs w:val="23"/>
          <w:lang w:val="pl-PL"/>
        </w:rPr>
        <w:sectPr w:rsidR="005046EB" w:rsidRPr="005046EB">
          <w:pgSz w:w="16838" w:h="11906" w:orient="landscape"/>
          <w:pgMar w:top="1276" w:right="536" w:bottom="851" w:left="567" w:header="708" w:footer="485" w:gutter="0"/>
          <w:cols w:num="2" w:space="708"/>
        </w:sect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lastRenderedPageBreak/>
        <w:t>Całkowite wynagrodzenie członków Zarządu i członków Rady Nadzorczej Banku a przyjęta Polityka</w:t>
      </w:r>
    </w:p>
    <w:p w:rsidR="005046EB" w:rsidRPr="005046EB" w:rsidRDefault="005046EB" w:rsidP="005046EB">
      <w:pPr>
        <w:spacing w:after="120" w:line="288" w:lineRule="auto"/>
        <w:ind w:left="851"/>
        <w:jc w:val="both"/>
        <w:rPr>
          <w:rFonts w:ascii="Arial" w:eastAsia="SimSun" w:hAnsi="Arial" w:cs="Arial"/>
          <w:iCs/>
          <w:color w:val="auto"/>
          <w:sz w:val="20"/>
          <w:szCs w:val="20"/>
          <w:lang w:val="pl-PL" w:eastAsia="zh-CN"/>
        </w:rPr>
      </w:pPr>
      <w:r w:rsidRPr="005046EB">
        <w:rPr>
          <w:rFonts w:ascii="Arial" w:eastAsia="SimSun" w:hAnsi="Arial" w:cs="Arial"/>
          <w:iCs/>
          <w:color w:val="auto"/>
          <w:sz w:val="20"/>
          <w:szCs w:val="20"/>
          <w:lang w:val="pl-PL" w:eastAsia="zh-CN"/>
        </w:rPr>
        <w:t>Bank różnicuje wysokość wynagrodzenia stałego członków Zarządu przy uwzględnieniu doświadczenia zawodowego, wymagań w zakresie kompetencji oraz roli pełnionej w procesie zarządzania Bankiem, co umożliwia pozyskanie i utrzymanie w Banku utalentowanych menedżerów, którzy wspierają rozwój i sukces Banku.</w:t>
      </w:r>
    </w:p>
    <w:p w:rsidR="005046EB" w:rsidRPr="005046EB" w:rsidRDefault="005046EB" w:rsidP="005046EB">
      <w:pPr>
        <w:spacing w:after="120" w:line="288" w:lineRule="auto"/>
        <w:ind w:left="851"/>
        <w:jc w:val="both"/>
        <w:rPr>
          <w:rFonts w:ascii="Arial" w:eastAsia="SimSun" w:hAnsi="Arial" w:cs="Arial"/>
          <w:iCs/>
          <w:color w:val="auto"/>
          <w:sz w:val="20"/>
          <w:szCs w:val="20"/>
          <w:lang w:val="pl-PL" w:eastAsia="zh-CN"/>
        </w:rPr>
      </w:pPr>
      <w:r w:rsidRPr="005046EB">
        <w:rPr>
          <w:rFonts w:ascii="Arial" w:eastAsia="SimSun" w:hAnsi="Arial" w:cs="Arial"/>
          <w:iCs/>
          <w:color w:val="auto"/>
          <w:sz w:val="20"/>
          <w:szCs w:val="20"/>
          <w:lang w:val="pl-PL" w:eastAsia="zh-CN"/>
        </w:rPr>
        <w:t>Wynagrodzenie zmienne, przyznane członkom Zarządu Banku w latach 2019 i 2020, zostało określone w sposób promujący rozsądne zarządzanie Bankiem, bazujący na wynikach finansowych i niefinansowych oraz nienagradzający niewłaściwych decyzji. Pula na wynagrodzenia zmienne członków Zarządu Banku podlegała weryfikacji w zakresie tego, czy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rsidR="005046EB" w:rsidRPr="005046EB" w:rsidRDefault="005046EB" w:rsidP="005046EB">
      <w:pPr>
        <w:spacing w:after="120" w:line="288" w:lineRule="auto"/>
        <w:ind w:left="851"/>
        <w:jc w:val="both"/>
        <w:rPr>
          <w:rFonts w:ascii="Arial" w:eastAsia="SimSun" w:hAnsi="Arial" w:cs="Arial"/>
          <w:iCs/>
          <w:color w:val="auto"/>
          <w:sz w:val="20"/>
          <w:szCs w:val="20"/>
          <w:lang w:val="pl-PL" w:eastAsia="zh-CN"/>
        </w:rPr>
      </w:pPr>
      <w:r w:rsidRPr="005046EB">
        <w:rPr>
          <w:rFonts w:ascii="Arial" w:eastAsia="SimSun" w:hAnsi="Arial" w:cs="Arial"/>
          <w:iCs/>
          <w:color w:val="auto"/>
          <w:sz w:val="20"/>
          <w:szCs w:val="20"/>
          <w:lang w:val="pl-PL" w:eastAsia="zh-CN"/>
        </w:rPr>
        <w:t xml:space="preserve">Celem powiązania decyzji podejmowanych w zakresie wynagrodzeń członków Zarządu z interesem akcjonariuszy, efektywnego zarządzania ryzykiem oraz zapewnienia zgodności z wymogami regulacyjnymi, część wynagrodzenia zmiennego: </w:t>
      </w:r>
    </w:p>
    <w:p w:rsidR="005046EB" w:rsidRPr="005046EB" w:rsidRDefault="005046EB" w:rsidP="00223F2E">
      <w:pPr>
        <w:numPr>
          <w:ilvl w:val="0"/>
          <w:numId w:val="17"/>
        </w:numPr>
        <w:spacing w:after="120" w:line="288" w:lineRule="auto"/>
        <w:ind w:left="1276"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została przyznana w formie akcji fantomowych powiązanych z wartością akcji Banku na Giełdzie Papierów Wartościowych w Warszawie oraz</w:t>
      </w:r>
    </w:p>
    <w:p w:rsidR="005046EB" w:rsidRPr="005046EB" w:rsidRDefault="005046EB" w:rsidP="00223F2E">
      <w:pPr>
        <w:numPr>
          <w:ilvl w:val="0"/>
          <w:numId w:val="17"/>
        </w:numPr>
        <w:spacing w:after="120" w:line="288" w:lineRule="auto"/>
        <w:ind w:left="1276"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podlegała odroczeniu w okresie 3 albo 5 lat – tj. proporcjonalnemu podziałowi odpowiednio na 3 albo 5 transz z możliwością nabycia uprawnień do danej transzy po każdym roku odroczenia; wypłata następuje najwcześniej po 6 albo 12-miesięcznym okresie retencji od momentu nabycia uprawnień do danej odroczonej transzy.</w:t>
      </w:r>
    </w:p>
    <w:p w:rsidR="005046EB" w:rsidRPr="005046EB" w:rsidRDefault="005046EB" w:rsidP="005046EB">
      <w:pPr>
        <w:spacing w:after="120" w:line="288" w:lineRule="auto"/>
        <w:ind w:left="851"/>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color w:val="auto"/>
          <w:sz w:val="20"/>
          <w:szCs w:val="20"/>
          <w:lang w:val="pl-PL" w:eastAsia="zh-CN" w:bidi="ar-AE"/>
        </w:rPr>
        <w:t xml:space="preserve">Nabycie uprawnień do odroczonego wynagrodzenia zmiennego w 2019 i 2020 roku podlegało weryfikacji w szczególności pod kątem kondycji finansowej Banku oraz spełnienia przez poszczególnych członków Zarządu </w:t>
      </w:r>
      <w:r w:rsidRPr="005046EB">
        <w:rPr>
          <w:rFonts w:ascii="Arial" w:eastAsia="Times New Roman" w:hAnsi="Arial" w:cs="Arial"/>
          <w:bCs/>
          <w:color w:val="auto"/>
          <w:sz w:val="20"/>
          <w:szCs w:val="20"/>
          <w:lang w:val="pl-PL" w:eastAsia="zh-CN" w:bidi="ar-AE"/>
        </w:rPr>
        <w:t>standardów dotyczących rękojmi bezpiecznego i ostrożnego zarządzania Bankiem, tj.:</w:t>
      </w:r>
    </w:p>
    <w:p w:rsidR="005046EB" w:rsidRPr="005046EB" w:rsidRDefault="005046EB" w:rsidP="00223F2E">
      <w:pPr>
        <w:numPr>
          <w:ilvl w:val="0"/>
          <w:numId w:val="18"/>
        </w:numPr>
        <w:spacing w:after="120" w:line="300" w:lineRule="exact"/>
        <w:ind w:left="1276" w:hanging="425"/>
        <w:jc w:val="both"/>
        <w:outlineLvl w:val="1"/>
        <w:rPr>
          <w:rFonts w:ascii="Arial" w:eastAsia="Times New Roman" w:hAnsi="Arial" w:cs="Arial"/>
          <w:bCs/>
          <w:color w:val="auto"/>
          <w:sz w:val="20"/>
          <w:szCs w:val="20"/>
          <w:lang w:val="pl-PL" w:eastAsia="pl-PL" w:bidi="ar-AE"/>
        </w:rPr>
      </w:pPr>
      <w:r w:rsidRPr="005046EB">
        <w:rPr>
          <w:rFonts w:ascii="Arial" w:eastAsia="Times New Roman" w:hAnsi="Arial" w:cs="Arial"/>
          <w:bCs/>
          <w:color w:val="auto"/>
          <w:sz w:val="20"/>
          <w:szCs w:val="20"/>
          <w:lang w:val="pl-PL" w:eastAsia="pl-PL" w:bidi="ar-AE"/>
        </w:rPr>
        <w:t xml:space="preserve">Szef Pionu Zarządzania Kadrami potwierdził kwestie związane z zatrudnieniem oraz potencjalnym </w:t>
      </w:r>
      <w:r w:rsidRPr="005046EB">
        <w:rPr>
          <w:rFonts w:ascii="Arial" w:eastAsia="Times New Roman" w:hAnsi="Arial" w:cs="Arial"/>
          <w:bCs/>
          <w:color w:val="auto"/>
          <w:sz w:val="20"/>
          <w:szCs w:val="20"/>
          <w:lang w:val="pl-PL"/>
        </w:rPr>
        <w:t>naruszeniem obowiązków pracowniczych,</w:t>
      </w:r>
      <w:r w:rsidRPr="005046EB">
        <w:rPr>
          <w:rFonts w:ascii="Arial" w:eastAsia="Times New Roman" w:hAnsi="Arial" w:cs="Arial"/>
          <w:bCs/>
          <w:color w:val="auto"/>
          <w:sz w:val="20"/>
          <w:szCs w:val="20"/>
          <w:lang w:val="pl-PL" w:eastAsia="pl-PL" w:bidi="ar-AE"/>
        </w:rPr>
        <w:t xml:space="preserve"> </w:t>
      </w:r>
    </w:p>
    <w:p w:rsidR="005046EB" w:rsidRPr="005046EB" w:rsidRDefault="005046EB" w:rsidP="00223F2E">
      <w:pPr>
        <w:numPr>
          <w:ilvl w:val="0"/>
          <w:numId w:val="18"/>
        </w:numPr>
        <w:spacing w:after="120" w:line="300" w:lineRule="exact"/>
        <w:ind w:left="1276"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pl-PL" w:bidi="ar-AE"/>
        </w:rPr>
        <w:t>Szef Pionu Finansowego potwierdził informacje związane z kondycja finansową Banku oraz ze sprawozdaniem finansowym</w:t>
      </w:r>
    </w:p>
    <w:p w:rsidR="005046EB" w:rsidRPr="005046EB" w:rsidRDefault="005046EB" w:rsidP="00223F2E">
      <w:pPr>
        <w:numPr>
          <w:ilvl w:val="0"/>
          <w:numId w:val="18"/>
        </w:numPr>
        <w:tabs>
          <w:tab w:val="left" w:pos="720"/>
          <w:tab w:val="center" w:pos="4680"/>
        </w:tabs>
        <w:suppressAutoHyphens/>
        <w:spacing w:after="120" w:line="300" w:lineRule="exact"/>
        <w:ind w:left="1276" w:hanging="425"/>
        <w:jc w:val="both"/>
        <w:outlineLvl w:val="1"/>
        <w:rPr>
          <w:rFonts w:ascii="Arial" w:eastAsia="Times New Roman" w:hAnsi="Arial" w:cs="Arial"/>
          <w:bCs/>
          <w:color w:val="auto"/>
          <w:sz w:val="20"/>
          <w:szCs w:val="20"/>
          <w:lang w:val="pl-PL"/>
        </w:rPr>
      </w:pPr>
      <w:r w:rsidRPr="005046EB">
        <w:rPr>
          <w:rFonts w:ascii="Arial" w:eastAsia="Times New Roman" w:hAnsi="Arial" w:cs="Arial"/>
          <w:bCs/>
          <w:color w:val="auto"/>
          <w:sz w:val="20"/>
          <w:szCs w:val="20"/>
          <w:lang w:val="pl-PL" w:eastAsia="pl-PL" w:bidi="ar-AE"/>
        </w:rPr>
        <w:t xml:space="preserve">Szef Sektora Zarządzania Ryzykiem potwierdził informację odnośnie procesów </w:t>
      </w:r>
      <w:r w:rsidRPr="005046EB">
        <w:rPr>
          <w:rFonts w:ascii="Arial" w:eastAsia="Times New Roman" w:hAnsi="Arial" w:cs="Arial"/>
          <w:bCs/>
          <w:color w:val="auto"/>
          <w:sz w:val="20"/>
          <w:szCs w:val="20"/>
          <w:lang w:val="pl-PL"/>
        </w:rPr>
        <w:t>zarządzania ryzykiem.</w:t>
      </w:r>
    </w:p>
    <w:p w:rsidR="005046EB" w:rsidRPr="005046EB" w:rsidRDefault="005046EB" w:rsidP="005046EB">
      <w:pPr>
        <w:spacing w:after="120" w:line="288" w:lineRule="auto"/>
        <w:ind w:left="851"/>
        <w:jc w:val="both"/>
        <w:outlineLvl w:val="1"/>
        <w:rPr>
          <w:rFonts w:ascii="Arial" w:eastAsia="SimSu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Dla uniknięcia konfliktu interesów, dla Szefa Pionu Finansowego oraz Szefa Sektora Zarządzania Ryzykiem Prezes Zarządu potwierdził powyższe informacje, które są w ich obszarze odpowiedzialności.</w:t>
      </w:r>
    </w:p>
    <w:p w:rsidR="005046EB" w:rsidRPr="005046EB" w:rsidRDefault="005046EB" w:rsidP="005046EB">
      <w:pPr>
        <w:tabs>
          <w:tab w:val="left" w:pos="1418"/>
        </w:tabs>
        <w:spacing w:after="120" w:line="288" w:lineRule="auto"/>
        <w:ind w:left="851"/>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 xml:space="preserve">W latach 2019 i 2020 decyzje dotyczące przyznania wynagrodzenia zmiennego jak i nabycia uprawnień do odroczonego wynagrodzenia zamiennego za lata poprzednie Rada Nadzorcza Banku podejmowała na podstawie rekomendacji i opinii Komitetu ds. Nominacji i Wynagrodzeń Rady Nadzorczej, podyktowanych ostrożnym i stabilnym zarządzaniem ryzykiem, kapitałem i płynnością oraz szczególną dbałością o długoterminowe dobro Banku, interes akcjonariuszy, inwestorów i udziałowców Banku. </w:t>
      </w:r>
    </w:p>
    <w:p w:rsidR="005046EB" w:rsidRPr="005046EB" w:rsidRDefault="005046EB" w:rsidP="005046EB">
      <w:pPr>
        <w:spacing w:after="120" w:line="288" w:lineRule="auto"/>
        <w:ind w:left="851"/>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W celu uniknięcia konfliktu interesów, w latach 2019 i 2020 członkom Rady Nadzorczej nie zostało przyznawane wynagrodzenie zmienne (powiązane z wynikami).</w:t>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t>Zastosowanie kryteriów dotyczących wyników w wynagrodzeniach członków Zarządu i członków Rady Nadzorczej Banku</w:t>
      </w:r>
    </w:p>
    <w:p w:rsidR="005046EB" w:rsidRPr="005046EB" w:rsidRDefault="005046EB" w:rsidP="005046EB">
      <w:pPr>
        <w:tabs>
          <w:tab w:val="left" w:pos="1418"/>
        </w:tabs>
        <w:spacing w:after="120" w:line="288" w:lineRule="auto"/>
        <w:ind w:left="851"/>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Wyniki podlegają weryfikacji przed przyznaniem wynagrodzenia zmiennego (ex-ante) jak również na etapie decyzji o nabyciu uprawnień do odroczonego wynagrodzenia zmiennego (ex-post).</w:t>
      </w:r>
    </w:p>
    <w:p w:rsidR="005046EB" w:rsidRPr="005046EB" w:rsidRDefault="005046EB" w:rsidP="005046EB">
      <w:pPr>
        <w:spacing w:line="256" w:lineRule="auto"/>
        <w:ind w:left="851"/>
        <w:jc w:val="both"/>
        <w:rPr>
          <w:rFonts w:ascii="Arial" w:eastAsia="SimSun" w:hAnsi="Arial" w:cs="Arial"/>
          <w:b/>
          <w:iCs/>
          <w:color w:val="auto"/>
          <w:sz w:val="20"/>
          <w:szCs w:val="20"/>
          <w:lang w:val="pl-PL" w:eastAsia="zh-CN"/>
        </w:rPr>
      </w:pPr>
      <w:r w:rsidRPr="005046EB">
        <w:rPr>
          <w:rFonts w:ascii="Arial" w:eastAsia="SimSun" w:hAnsi="Arial" w:cs="Arial"/>
          <w:b/>
          <w:iCs/>
          <w:color w:val="auto"/>
          <w:sz w:val="20"/>
          <w:szCs w:val="20"/>
          <w:lang w:val="pl-PL" w:eastAsia="zh-CN"/>
        </w:rPr>
        <w:lastRenderedPageBreak/>
        <w:t>W latach 2019 i 2020 Bank zastosował następujące kryteria weryfikacji ex-ante:</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Kryteria odnoszące się do wyników Banku mające zastosowanie do określenia puli przeznaczonej na wynagrodzenia zmienne dla członków Zarządu przyznane w latach 2019 i 2020 zostały opisane w punkcie 2) niniejszego sprawozdania.</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Wynagrodzenie zmienne poszczególnych członków Zarządu Banku zostało przyznane uznaniowo z uwzględnieniem kryteriów finansowych i niefinansowych, takich jak podejście do podejmowania ryzyka i zapewnienie zgodności z przepisami, w celu odzwierciedlenia efektów pracy członków Zarządu oraz ograniczenia motywacji do podejmowania ryzyka wykraczającego poza ogólny apetyt na ryzyko przyjęty przez Bank. </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Wysokość przyznanego wynagrodzenia zmiennego jest uzależniona od oceny indywidualnych wyników oraz wyników finansowych Banku lub właściwej jednostki organizacyjnej. Ocena efektów pracy odbywa się na podstawie danych za okres trzech lat finansowych, co uwzględnia cykl koniunkturalny i ryzyko związane z prowadzoną przez Bank działalnością gospodarczą. W przypadku osób zatrudnionych krócej niż 3 lata przy dokonywaniu oceny efektów pracy w Banku uwzględnia się dane od momentu nawiązania stosunku pracy.</w:t>
      </w:r>
    </w:p>
    <w:p w:rsidR="005046EB" w:rsidRPr="005046EB" w:rsidRDefault="005046EB" w:rsidP="005046EB">
      <w:pPr>
        <w:spacing w:after="120" w:line="288" w:lineRule="auto"/>
        <w:ind w:left="851"/>
        <w:jc w:val="both"/>
        <w:rPr>
          <w:rFonts w:ascii="Arial" w:eastAsia="SimSun" w:hAnsi="Arial" w:cs="Arial"/>
          <w:b/>
          <w:iCs/>
          <w:color w:val="auto"/>
          <w:sz w:val="20"/>
          <w:szCs w:val="20"/>
          <w:lang w:val="pl-PL" w:eastAsia="zh-CN"/>
        </w:rPr>
      </w:pPr>
      <w:r w:rsidRPr="005046EB">
        <w:rPr>
          <w:rFonts w:ascii="Arial" w:eastAsia="SimSun" w:hAnsi="Arial" w:cs="Arial"/>
          <w:b/>
          <w:iCs/>
          <w:color w:val="auto"/>
          <w:sz w:val="20"/>
          <w:szCs w:val="20"/>
          <w:lang w:val="pl-PL" w:eastAsia="zh-CN"/>
        </w:rPr>
        <w:t>W latach 2019 i 2020 Bank zastosował następujące kryteria weryfikacji ex-post:</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Nabycie uprawnień do wynagrodzenia zmiennego i jego wypłata były uzależniona od spełniania kryteriów na poziomie indywidualnym oraz kondycji finansowej Banku.</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Wysokość wypłacanej odroczonej części nagrody mogła zostać obniżona lub całkowicie zredukowana  na mocy decyzji  Rady Nadzorczej, gdyby: </w:t>
      </w:r>
    </w:p>
    <w:p w:rsidR="005046EB" w:rsidRPr="005046EB" w:rsidRDefault="005046EB" w:rsidP="00223F2E">
      <w:pPr>
        <w:numPr>
          <w:ilvl w:val="0"/>
          <w:numId w:val="19"/>
        </w:numPr>
        <w:spacing w:after="120" w:line="288" w:lineRule="auto"/>
        <w:ind w:left="1134" w:hanging="283"/>
        <w:jc w:val="both"/>
        <w:rPr>
          <w:rFonts w:ascii="Arial" w:eastAsia="Times New Roman" w:hAnsi="Arial" w:cs="Times New Roman"/>
          <w:color w:val="auto"/>
          <w:lang w:val="pl-PL" w:eastAsia="zh-CN"/>
        </w:rPr>
      </w:pPr>
      <w:r w:rsidRPr="005046EB">
        <w:rPr>
          <w:rFonts w:ascii="Arial" w:eastAsia="Times New Roman" w:hAnsi="Arial" w:cs="Arial"/>
          <w:color w:val="auto"/>
          <w:lang w:val="pl-PL" w:eastAsia="zh-CN"/>
        </w:rPr>
        <w:t>nie zostały spełnione standardy dotyczące rękojmi bezpiecznego i ostrożnego zarządzania Bankiem, która była badana poprzez sprawdzenie, czy:</w:t>
      </w:r>
    </w:p>
    <w:p w:rsidR="005046EB" w:rsidRPr="005046EB" w:rsidRDefault="005046EB" w:rsidP="00223F2E">
      <w:pPr>
        <w:numPr>
          <w:ilvl w:val="0"/>
          <w:numId w:val="20"/>
        </w:numPr>
        <w:spacing w:after="120" w:line="288" w:lineRule="auto"/>
        <w:ind w:left="1560"/>
        <w:jc w:val="both"/>
        <w:rPr>
          <w:rFonts w:ascii="Arial" w:eastAsia="SimSun" w:hAnsi="Arial" w:cs="Times New Roman"/>
          <w:color w:val="auto"/>
          <w:lang w:val="pl-PL" w:eastAsia="zh-CN"/>
        </w:rPr>
      </w:pPr>
      <w:r w:rsidRPr="005046EB">
        <w:rPr>
          <w:rFonts w:ascii="Arial" w:eastAsia="SimSun" w:hAnsi="Arial" w:cs="Times New Roman"/>
          <w:color w:val="auto"/>
          <w:lang w:val="pl-PL" w:eastAsia="zh-CN"/>
        </w:rPr>
        <w:t>członkowie Zarządu rażąco naruszyli swoje obowiązki pracownicze, w szczególności uczestniczyli w działaniach, których wynikiem były istotne straty Banku lub byli odpowiedzialni za takie działania; lub</w:t>
      </w:r>
    </w:p>
    <w:p w:rsidR="005046EB" w:rsidRPr="005046EB" w:rsidRDefault="005046EB" w:rsidP="00223F2E">
      <w:pPr>
        <w:numPr>
          <w:ilvl w:val="0"/>
          <w:numId w:val="20"/>
        </w:numPr>
        <w:spacing w:after="120" w:line="288" w:lineRule="auto"/>
        <w:ind w:left="1560"/>
        <w:jc w:val="both"/>
        <w:rPr>
          <w:rFonts w:ascii="Arial" w:eastAsia="SimSun" w:hAnsi="Arial" w:cs="Times New Roman"/>
          <w:color w:val="auto"/>
          <w:lang w:val="pl-PL" w:eastAsia="zh-CN"/>
        </w:rPr>
      </w:pPr>
      <w:r w:rsidRPr="005046EB">
        <w:rPr>
          <w:rFonts w:ascii="Arial" w:eastAsia="SimSun" w:hAnsi="Arial" w:cs="Times New Roman"/>
          <w:color w:val="auto"/>
          <w:lang w:val="pl-PL" w:eastAsia="zh-CN"/>
        </w:rPr>
        <w:t>członkowie Zarządu świadomie uczestniczyli w przekazywaniu istotnie niepoprawnych informacji dotyczących sprawozdań finansowych Banku; lub</w:t>
      </w:r>
    </w:p>
    <w:p w:rsidR="005046EB" w:rsidRPr="005046EB" w:rsidRDefault="005046EB" w:rsidP="00223F2E">
      <w:pPr>
        <w:numPr>
          <w:ilvl w:val="0"/>
          <w:numId w:val="20"/>
        </w:numPr>
        <w:spacing w:after="120" w:line="288" w:lineRule="auto"/>
        <w:ind w:left="1560"/>
        <w:jc w:val="both"/>
        <w:rPr>
          <w:rFonts w:ascii="Arial" w:eastAsia="SimSun" w:hAnsi="Arial" w:cs="Times New Roman"/>
          <w:color w:val="auto"/>
          <w:lang w:val="pl-PL" w:eastAsia="zh-CN"/>
        </w:rPr>
      </w:pPr>
      <w:r w:rsidRPr="005046EB">
        <w:rPr>
          <w:rFonts w:ascii="Arial" w:eastAsia="SimSun" w:hAnsi="Arial" w:cs="Times New Roman"/>
          <w:color w:val="auto"/>
          <w:lang w:val="pl-PL" w:eastAsia="zh-CN"/>
        </w:rPr>
        <w:t xml:space="preserve">nastąpiło istotne uchybienie w zarządzaniu ryzykiem; lub </w:t>
      </w:r>
    </w:p>
    <w:p w:rsidR="005046EB" w:rsidRPr="005046EB" w:rsidRDefault="005046EB" w:rsidP="00223F2E">
      <w:pPr>
        <w:numPr>
          <w:ilvl w:val="0"/>
          <w:numId w:val="20"/>
        </w:numPr>
        <w:spacing w:after="120" w:line="288" w:lineRule="auto"/>
        <w:ind w:left="1560"/>
        <w:jc w:val="both"/>
        <w:rPr>
          <w:rFonts w:ascii="Arial" w:eastAsia="SimSun" w:hAnsi="Arial" w:cs="Times New Roman"/>
          <w:color w:val="auto"/>
          <w:lang w:val="pl-PL" w:eastAsia="zh-CN"/>
        </w:rPr>
      </w:pPr>
      <w:r w:rsidRPr="005046EB">
        <w:rPr>
          <w:rFonts w:ascii="Arial" w:eastAsia="SimSun" w:hAnsi="Arial" w:cs="Times New Roman"/>
          <w:color w:val="auto"/>
          <w:lang w:val="pl-PL" w:eastAsia="zh-CN"/>
        </w:rPr>
        <w:t>członkowie Zarządu istotnie naruszyli jakiekolwiek limity ryzyka;</w:t>
      </w:r>
    </w:p>
    <w:p w:rsidR="005046EB" w:rsidRPr="005046EB" w:rsidRDefault="005046EB" w:rsidP="00223F2E">
      <w:pPr>
        <w:numPr>
          <w:ilvl w:val="0"/>
          <w:numId w:val="19"/>
        </w:numPr>
        <w:spacing w:after="120" w:line="288" w:lineRule="auto"/>
        <w:ind w:left="1134" w:hanging="283"/>
        <w:jc w:val="both"/>
        <w:rPr>
          <w:rFonts w:ascii="Arial" w:eastAsia="Times New Roman" w:hAnsi="Arial" w:cs="Arial"/>
          <w:color w:val="auto"/>
          <w:lang w:val="pl-PL" w:eastAsia="zh-CN"/>
        </w:rPr>
      </w:pPr>
      <w:r w:rsidRPr="005046EB">
        <w:rPr>
          <w:rFonts w:ascii="Arial" w:eastAsia="Times New Roman" w:hAnsi="Arial" w:cs="Arial"/>
          <w:color w:val="auto"/>
          <w:lang w:val="pl-PL" w:eastAsia="zh-CN"/>
        </w:rPr>
        <w:t>zaistniała sytuacja, o której mowa w art. 142 ust. 1 Prawo Bankowe; lub</w:t>
      </w:r>
    </w:p>
    <w:p w:rsidR="005046EB" w:rsidRPr="005046EB" w:rsidRDefault="005046EB" w:rsidP="00223F2E">
      <w:pPr>
        <w:numPr>
          <w:ilvl w:val="0"/>
          <w:numId w:val="19"/>
        </w:numPr>
        <w:spacing w:after="120" w:line="288" w:lineRule="auto"/>
        <w:ind w:left="1134" w:hanging="283"/>
        <w:jc w:val="both"/>
        <w:rPr>
          <w:rFonts w:ascii="Arial" w:eastAsia="Times New Roman" w:hAnsi="Arial" w:cs="Arial"/>
          <w:color w:val="auto"/>
          <w:lang w:val="pl-PL" w:eastAsia="zh-CN"/>
        </w:rPr>
      </w:pPr>
      <w:r w:rsidRPr="005046EB">
        <w:rPr>
          <w:rFonts w:ascii="Arial" w:eastAsia="Times New Roman" w:hAnsi="Arial" w:cs="Arial"/>
          <w:color w:val="auto"/>
          <w:lang w:val="pl-PL" w:eastAsia="zh-CN"/>
        </w:rPr>
        <w:t>ustalono, że członkowie Zarządu otrzymali wynagrodzenie zmienne na podstawie istotnie niepoprawnych sprawozdań finansowych; lub</w:t>
      </w:r>
    </w:p>
    <w:p w:rsidR="005046EB" w:rsidRPr="005046EB" w:rsidRDefault="005046EB" w:rsidP="00223F2E">
      <w:pPr>
        <w:numPr>
          <w:ilvl w:val="0"/>
          <w:numId w:val="19"/>
        </w:numPr>
        <w:spacing w:after="120" w:line="288" w:lineRule="auto"/>
        <w:ind w:left="1134" w:hanging="283"/>
        <w:jc w:val="both"/>
        <w:rPr>
          <w:rFonts w:ascii="Arial" w:eastAsia="Times New Roman" w:hAnsi="Arial" w:cs="Arial"/>
          <w:color w:val="auto"/>
          <w:lang w:val="pl-PL" w:eastAsia="zh-CN"/>
        </w:rPr>
      </w:pPr>
      <w:r w:rsidRPr="005046EB">
        <w:rPr>
          <w:rFonts w:ascii="Arial" w:eastAsia="Times New Roman" w:hAnsi="Arial" w:cs="Arial"/>
          <w:color w:val="auto"/>
          <w:lang w:val="pl-PL" w:eastAsia="zh-CN"/>
        </w:rPr>
        <w:t>nastąpił istotny spadek wyniku finansowego Banku; lub</w:t>
      </w:r>
    </w:p>
    <w:p w:rsidR="005046EB" w:rsidRPr="005046EB" w:rsidRDefault="005046EB" w:rsidP="00223F2E">
      <w:pPr>
        <w:numPr>
          <w:ilvl w:val="0"/>
          <w:numId w:val="19"/>
        </w:numPr>
        <w:spacing w:after="120" w:line="288" w:lineRule="auto"/>
        <w:ind w:left="1134" w:hanging="283"/>
        <w:jc w:val="both"/>
        <w:rPr>
          <w:rFonts w:ascii="Arial" w:eastAsia="Times New Roman" w:hAnsi="Arial" w:cs="Arial"/>
          <w:color w:val="auto"/>
          <w:lang w:val="pl-PL" w:eastAsia="zh-CN"/>
        </w:rPr>
      </w:pPr>
      <w:r w:rsidRPr="005046EB">
        <w:rPr>
          <w:rFonts w:ascii="Arial" w:eastAsia="Times New Roman" w:hAnsi="Arial" w:cs="Arial"/>
          <w:color w:val="auto"/>
          <w:lang w:val="pl-PL" w:eastAsia="zh-CN"/>
        </w:rPr>
        <w:t>wystąpiła strata bilansowa, powstało niebezpieczeństwo niewypłacalności lub utraty płynności Banku.</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Nabycie prawa do każdej transzy odroczonej nagrody podlegało weryfikacji pod kątem wyników Banku w roku kalendarzowym bezpośrednio poprzedzającym datę nabycia prawa do danej transzy („Rok Dotyczący Wyników”).</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Jeżeli Bank poniósłby stratę obliczaną jako strata przed opodatkowaniem za Rok Dotyczący Wyników, wówczas transza odroczonego wynagrodzenia zmiennego w akcjach fantomowych, do której prawo mogło zostać nabyte w czasie trwania roku kalendarzowego następującego po zakończeniu Roku Dotyczącego Wyników, zostałaby zmniejszona (lecz nie poniżej zera) procentowo, o wartość procentową ustaloną jako:</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lastRenderedPageBreak/>
        <w:t xml:space="preserve">(i) bezwzględna wartość straty przed opodatkowaniem poniesionej przez w danym Roku Dotyczącym Wyników, podzielona przez </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(ii) bezwzględną wartość najwyższego zysku przed opodatkowaniem osiągniętego przez Bank w okresie obejmującym trzy lata kalendarzowe przed odpowiednim Rokiem Dotyczącym Wyników. Niezależnie od powyższego, jeżeli Bank poniósłby stratę obliczaną jako strata przed opodatkowaniem za Rok Dotyczący Wyników w jakiejkolwiek wysokości miałaby zastosowanie minimalna obniżka procentowa w wysokości 20 procent.</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Kwota zysku (lub straty) przed opodatkowaniem za każdy odpowiedni Rok Dotyczący Wyników stanowi całkowitą wartość kwoty przychodu (straty) przed opodatkowaniem podatkiem dochodowym z tytułu prowadzenia bieżących operacji przez Bank. Wyniki za lata 2019 i 2020 zostały określone na podstawie sprawozdań IFRS, obejmujących zbadane wyniki za pierwsze trzy kwartały (zgodnie z raportem do GPW i odpowiednich organów publicznych), a ostatni kwartał roku składał się z faktycznych wyników za pierwsze dwa miesiące tego kwartału i szacunkowych wartości za ostatni miesiąc. Szacunkowe wartości zostały określone przez Dział Finansowy Banku i były ostateczne i wiążące niezależnie od faktycznych wyników końcowych.</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Gdyby bezwzględna wartość straty przed opodatkowaniem poniesionej przez Bank za dany Rok Dotyczący Wyników była równa lub przekroczyłaby całkowitą wartość najwyższego zysku przed opodatkowaniem w roku kalendarzowym Banku w Okresie Pomiaru, wówczas członkowie Zarządu nie nabyliby prawa do danej transzy.</w:t>
      </w:r>
    </w:p>
    <w:p w:rsidR="005046EB" w:rsidRPr="005046EB" w:rsidRDefault="005046EB" w:rsidP="005046EB">
      <w:pPr>
        <w:spacing w:after="120" w:line="288" w:lineRule="auto"/>
        <w:ind w:left="851"/>
        <w:jc w:val="both"/>
        <w:rPr>
          <w:rFonts w:ascii="Arial" w:eastAsia="SimSun" w:hAnsi="Arial" w:cs="Arial"/>
          <w:color w:val="auto"/>
          <w:sz w:val="20"/>
          <w:szCs w:val="20"/>
          <w:lang w:val="pl-PL" w:eastAsia="zh-CN"/>
        </w:rPr>
      </w:pPr>
      <w:r w:rsidRPr="005046EB">
        <w:rPr>
          <w:rFonts w:ascii="Arial" w:eastAsia="SimSun" w:hAnsi="Arial" w:cs="Arial"/>
          <w:bCs/>
          <w:color w:val="auto"/>
          <w:sz w:val="20"/>
          <w:szCs w:val="20"/>
          <w:lang w:val="pl-PL" w:eastAsia="zh-CN"/>
        </w:rPr>
        <w:t>W latach 2019 i 2020 w stosunku do żadnego z członków Zarządu Banku nie dokonywano zmniejszeń wynagrodzenia zmiennego w ramach korekty związanej z wynikami.</w:t>
      </w:r>
    </w:p>
    <w:p w:rsidR="005046EB" w:rsidRPr="005046EB" w:rsidRDefault="005046EB" w:rsidP="005046EB">
      <w:pPr>
        <w:spacing w:after="120" w:line="288" w:lineRule="auto"/>
        <w:ind w:left="851"/>
        <w:jc w:val="both"/>
        <w:rPr>
          <w:rFonts w:ascii="Arial" w:eastAsia="SimSun" w:hAnsi="Arial" w:cs="Arial"/>
          <w:iCs/>
          <w:color w:val="auto"/>
          <w:sz w:val="20"/>
          <w:szCs w:val="20"/>
          <w:lang w:val="pl-PL" w:eastAsia="zh-CN"/>
        </w:rPr>
      </w:pPr>
      <w:r w:rsidRPr="005046EB">
        <w:rPr>
          <w:rFonts w:ascii="Arial" w:eastAsia="SimSun" w:hAnsi="Arial" w:cs="Arial"/>
          <w:iCs/>
          <w:color w:val="auto"/>
          <w:sz w:val="20"/>
          <w:szCs w:val="20"/>
          <w:lang w:val="pl-PL" w:eastAsia="zh-CN"/>
        </w:rPr>
        <w:t>Zgodnie z Polityką, w latach 2019 i 2020 członkom Rady Nadzorczej Banku przyznano wyłącznie stale składniki wynagrodzenia, których wartość nie jest powiązana z wynikami Banku. Nie otrzymali oni wynagrodzenia zmiennego, stąd do wynagrodzeń członków Rady Nadzorczej Banku nie miało zastosowania uwzględnienie kryteriów dotyczących wyników.</w:t>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t>Zmiana wynagrodzenia członków Zarządu i członków Rady Nadzorczej Banku, wyników Banku oraz średniego wynagrodzenia pracowników Banku niebędących członkami Zarządu ani Rady Nadzorczej, w okresie pięciu ostatnich lat obrotowych</w:t>
      </w:r>
    </w:p>
    <w:p w:rsidR="005046EB" w:rsidRPr="005046EB" w:rsidRDefault="005046EB" w:rsidP="005046EB">
      <w:pPr>
        <w:tabs>
          <w:tab w:val="left" w:pos="851"/>
        </w:tabs>
        <w:spacing w:after="0" w:line="240" w:lineRule="auto"/>
        <w:ind w:left="851"/>
        <w:jc w:val="both"/>
        <w:rPr>
          <w:rFonts w:ascii="Arial" w:eastAsia="SimSun" w:hAnsi="Arial" w:cs="Times New Roman"/>
          <w:b/>
          <w:color w:val="auto"/>
          <w:sz w:val="20"/>
          <w:szCs w:val="20"/>
          <w:lang w:val="pl-PL" w:eastAsia="zh-CN"/>
        </w:rPr>
      </w:pPr>
    </w:p>
    <w:p w:rsidR="005046EB" w:rsidRPr="005046EB" w:rsidRDefault="005046EB" w:rsidP="005046EB">
      <w:pPr>
        <w:spacing w:after="120" w:line="288"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 xml:space="preserve">W poniższej tabeli przedstawiono zestawienie zmian w latach 2015-2020 wynagrodzeń członków Zarządu i członków Rady Nadzorczej Banku, którzy pełnili swoje funkcje w 2019 lub 2020 roku, wyników Banku oraz średniego wynagrodzenia pracowników niebędących członkami Zarządu ani Rady Nadzorczej. </w:t>
      </w:r>
    </w:p>
    <w:p w:rsidR="005046EB" w:rsidRPr="005046EB" w:rsidRDefault="005046EB" w:rsidP="005046EB">
      <w:pPr>
        <w:spacing w:line="256" w:lineRule="auto"/>
        <w:rPr>
          <w:rFonts w:ascii="Arial" w:eastAsia="SimSun" w:hAnsi="Arial" w:cs="Times New Roman"/>
          <w:bCs/>
          <w:color w:val="auto"/>
          <w:lang w:val="pl-PL" w:eastAsia="zh-CN"/>
        </w:rPr>
      </w:pPr>
      <w:r w:rsidRPr="005046EB">
        <w:rPr>
          <w:rFonts w:ascii="Arial" w:eastAsia="SimSun" w:hAnsi="Arial" w:cs="Times New Roman"/>
          <w:bCs/>
          <w:color w:val="auto"/>
          <w:lang w:val="pl-PL" w:eastAsia="zh-CN"/>
        </w:rPr>
        <w:br w:type="page"/>
      </w:r>
    </w:p>
    <w:tbl>
      <w:tblPr>
        <w:tblW w:w="5002" w:type="pct"/>
        <w:tblLook w:val="04A0" w:firstRow="1" w:lastRow="0" w:firstColumn="1" w:lastColumn="0" w:noHBand="0" w:noVBand="1"/>
      </w:tblPr>
      <w:tblGrid>
        <w:gridCol w:w="2843"/>
        <w:gridCol w:w="2627"/>
        <w:gridCol w:w="660"/>
        <w:gridCol w:w="675"/>
        <w:gridCol w:w="675"/>
        <w:gridCol w:w="675"/>
        <w:gridCol w:w="675"/>
        <w:gridCol w:w="812"/>
      </w:tblGrid>
      <w:tr w:rsidR="005046EB" w:rsidRPr="005046EB" w:rsidTr="005046EB">
        <w:trPr>
          <w:trHeight w:val="288"/>
        </w:trPr>
        <w:tc>
          <w:tcPr>
            <w:tcW w:w="1453" w:type="pct"/>
            <w:tcBorders>
              <w:top w:val="double" w:sz="6" w:space="0" w:color="4472C4"/>
              <w:left w:val="nil"/>
              <w:bottom w:val="nil"/>
              <w:right w:val="nil"/>
            </w:tcBorders>
            <w:noWrap/>
            <w:vAlign w:val="bottom"/>
            <w:hideMark/>
          </w:tcPr>
          <w:p w:rsidR="005046EB" w:rsidRPr="005046EB" w:rsidRDefault="005046EB" w:rsidP="005046EB">
            <w:pPr>
              <w:spacing w:after="0" w:line="240" w:lineRule="auto"/>
              <w:rPr>
                <w:rFonts w:ascii="Arial" w:eastAsia="SimSun" w:hAnsi="Arial" w:cs="Times New Roman"/>
                <w:bCs/>
                <w:color w:val="auto"/>
                <w:lang w:val="pl-PL" w:eastAsia="zh-CN"/>
              </w:rPr>
            </w:pPr>
          </w:p>
        </w:tc>
        <w:tc>
          <w:tcPr>
            <w:tcW w:w="1324" w:type="pct"/>
            <w:tcBorders>
              <w:top w:val="double" w:sz="6" w:space="0" w:color="4472C4"/>
              <w:left w:val="nil"/>
              <w:bottom w:val="nil"/>
              <w:right w:val="nil"/>
            </w:tcBorders>
            <w:noWrap/>
            <w:vAlign w:val="bottom"/>
            <w:hideMark/>
          </w:tcPr>
          <w:p w:rsidR="005046EB" w:rsidRPr="005046EB" w:rsidRDefault="005046EB" w:rsidP="005046EB">
            <w:pPr>
              <w:spacing w:after="0" w:line="240" w:lineRule="auto"/>
              <w:rPr>
                <w:rFonts w:ascii="Times New Roman" w:eastAsia="SimSun" w:hAnsi="Times New Roman" w:cs="Times New Roman"/>
                <w:color w:val="auto"/>
                <w:sz w:val="20"/>
                <w:szCs w:val="20"/>
                <w:lang w:val="pl-PL"/>
              </w:rPr>
            </w:pPr>
          </w:p>
        </w:tc>
        <w:tc>
          <w:tcPr>
            <w:tcW w:w="351" w:type="pct"/>
            <w:tcBorders>
              <w:top w:val="double" w:sz="6"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2015</w:t>
            </w:r>
          </w:p>
        </w:tc>
        <w:tc>
          <w:tcPr>
            <w:tcW w:w="360" w:type="pct"/>
            <w:tcBorders>
              <w:top w:val="double" w:sz="6"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2016</w:t>
            </w:r>
          </w:p>
        </w:tc>
        <w:tc>
          <w:tcPr>
            <w:tcW w:w="360" w:type="pct"/>
            <w:tcBorders>
              <w:top w:val="double" w:sz="6"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2017</w:t>
            </w:r>
          </w:p>
        </w:tc>
        <w:tc>
          <w:tcPr>
            <w:tcW w:w="360" w:type="pct"/>
            <w:tcBorders>
              <w:top w:val="double" w:sz="6"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2018</w:t>
            </w:r>
          </w:p>
        </w:tc>
        <w:tc>
          <w:tcPr>
            <w:tcW w:w="360" w:type="pct"/>
            <w:tcBorders>
              <w:top w:val="double" w:sz="6"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2019</w:t>
            </w:r>
          </w:p>
        </w:tc>
        <w:tc>
          <w:tcPr>
            <w:tcW w:w="432" w:type="pct"/>
            <w:tcBorders>
              <w:top w:val="double" w:sz="6"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2020</w:t>
            </w:r>
          </w:p>
        </w:tc>
      </w:tr>
      <w:tr w:rsidR="005046EB" w:rsidRPr="005046EB" w:rsidTr="005046EB">
        <w:trPr>
          <w:trHeight w:val="288"/>
        </w:trPr>
        <w:tc>
          <w:tcPr>
            <w:tcW w:w="2777" w:type="pct"/>
            <w:gridSpan w:val="2"/>
            <w:tcBorders>
              <w:top w:val="nil"/>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Zmiana wynagrodzenia członków Zarządu</w:t>
            </w:r>
          </w:p>
        </w:tc>
        <w:tc>
          <w:tcPr>
            <w:tcW w:w="351"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rPr>
            </w:pP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rPr>
            </w:pP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rPr>
            </w:pP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rPr>
            </w:pPr>
          </w:p>
        </w:tc>
        <w:tc>
          <w:tcPr>
            <w:tcW w:w="432"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rPr>
            </w:pPr>
          </w:p>
        </w:tc>
      </w:tr>
      <w:tr w:rsidR="005046EB" w:rsidRPr="005046EB" w:rsidTr="005046EB">
        <w:trPr>
          <w:trHeight w:val="288"/>
        </w:trPr>
        <w:tc>
          <w:tcPr>
            <w:tcW w:w="1453"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Sławomir S. Sikora</w:t>
            </w:r>
          </w:p>
        </w:tc>
        <w:tc>
          <w:tcPr>
            <w:tcW w:w="1324" w:type="pct"/>
            <w:tcBorders>
              <w:top w:val="single" w:sz="8" w:space="0" w:color="4472C4"/>
              <w:left w:val="nil"/>
              <w:bottom w:val="nil"/>
              <w:right w:val="nil"/>
            </w:tcBorders>
            <w:noWrap/>
            <w:vAlign w:val="bottom"/>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23%</w:t>
            </w:r>
          </w:p>
        </w:tc>
        <w:tc>
          <w:tcPr>
            <w:tcW w:w="36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-16%</w:t>
            </w:r>
          </w:p>
        </w:tc>
        <w:tc>
          <w:tcPr>
            <w:tcW w:w="36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-13%</w:t>
            </w:r>
          </w:p>
        </w:tc>
        <w:tc>
          <w:tcPr>
            <w:tcW w:w="36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w:t>
            </w:r>
          </w:p>
        </w:tc>
        <w:tc>
          <w:tcPr>
            <w:tcW w:w="360"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w:t>
            </w:r>
          </w:p>
        </w:tc>
        <w:tc>
          <w:tcPr>
            <w:tcW w:w="432" w:type="pct"/>
            <w:tcBorders>
              <w:top w:val="single" w:sz="8" w:space="0" w:color="4472C4"/>
              <w:left w:val="nil"/>
              <w:bottom w:val="nil"/>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-12%</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xml:space="preserve">Maciej Kropidłowski </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19.03.2014</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198%</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-8%</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27%</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9%</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-8%</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James Foley</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01.02.2019</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47%</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Barbara Sobala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Katarzyna Majewska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11.01.2016</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7%</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10%</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Natalia Bożek</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21.03.2018</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75%</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w:t>
            </w:r>
          </w:p>
        </w:tc>
      </w:tr>
      <w:tr w:rsidR="005046EB" w:rsidRPr="005046EB" w:rsidTr="005046EB">
        <w:trPr>
          <w:trHeight w:val="288"/>
        </w:trPr>
        <w:tc>
          <w:tcPr>
            <w:tcW w:w="1453" w:type="pct"/>
            <w:shd w:val="clear" w:color="auto" w:fill="E7E6E6"/>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i/>
                <w:sz w:val="17"/>
                <w:szCs w:val="17"/>
                <w:lang w:val="pl-PL"/>
              </w:rPr>
              <w:t>Byli członkowie Zarządu</w:t>
            </w:r>
          </w:p>
        </w:tc>
        <w:tc>
          <w:tcPr>
            <w:tcW w:w="1324" w:type="pct"/>
            <w:shd w:val="clear" w:color="auto" w:fill="E7E6E6"/>
            <w:noWrap/>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432"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David Mouillé</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01.07.2015 do 31.01.2020</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105%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11%</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-28%</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i/>
                <w:sz w:val="17"/>
                <w:szCs w:val="17"/>
                <w:lang w:val="pl-PL"/>
              </w:rPr>
            </w:pPr>
            <w:r w:rsidRPr="005046EB">
              <w:rPr>
                <w:rFonts w:ascii="Arial" w:eastAsia="Times New Roman" w:hAnsi="Arial" w:cs="Times New Roman"/>
                <w:sz w:val="17"/>
                <w:szCs w:val="17"/>
                <w:lang w:val="pl-PL"/>
              </w:rPr>
              <w:t>Czesław Piasek</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20.05.2014 do 31.03.2018</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83%</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-43%</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-62%</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-52%</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Witold Zieliński</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19.02.2018</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-67%</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-63%</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Brendan Carney</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22.06.2015</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-9%</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-67%</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-39%</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-63%</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Iwona Dudzińska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31.07.2015</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-61%</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-67%</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-62%</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Misbah Ur-Rahman-Shah</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18.03.2014</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-38%</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-55%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-26%</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Robert Daniel Massey JR</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19.06.2013</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-45%</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-70%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Sonia Wędrychowicz-Horbatowska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13.05.2012</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-37%</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D138B1" w:rsidTr="005046EB">
        <w:trPr>
          <w:trHeight w:val="288"/>
        </w:trPr>
        <w:tc>
          <w:tcPr>
            <w:tcW w:w="3129" w:type="pct"/>
            <w:gridSpan w:val="3"/>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Zmiana wynagrodzenia członków Rady Nadzorczej</w:t>
            </w:r>
          </w:p>
        </w:tc>
        <w:tc>
          <w:tcPr>
            <w:tcW w:w="360" w:type="pct"/>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p>
        </w:tc>
        <w:tc>
          <w:tcPr>
            <w:tcW w:w="360" w:type="pct"/>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lang w:val="pl-PL"/>
              </w:rPr>
            </w:pPr>
          </w:p>
        </w:tc>
        <w:tc>
          <w:tcPr>
            <w:tcW w:w="360" w:type="pct"/>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lang w:val="pl-PL"/>
              </w:rPr>
            </w:pPr>
          </w:p>
        </w:tc>
        <w:tc>
          <w:tcPr>
            <w:tcW w:w="360" w:type="pct"/>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lang w:val="pl-PL"/>
              </w:rPr>
            </w:pPr>
          </w:p>
        </w:tc>
        <w:tc>
          <w:tcPr>
            <w:tcW w:w="432" w:type="pct"/>
            <w:noWrap/>
            <w:vAlign w:val="center"/>
            <w:hideMark/>
          </w:tcPr>
          <w:p w:rsidR="005046EB" w:rsidRPr="005046EB" w:rsidRDefault="005046EB" w:rsidP="005046EB">
            <w:pPr>
              <w:spacing w:after="0" w:line="240" w:lineRule="auto"/>
              <w:rPr>
                <w:rFonts w:ascii="Times New Roman" w:eastAsia="SimSun" w:hAnsi="Times New Roman" w:cs="Times New Roman"/>
                <w:color w:val="auto"/>
                <w:sz w:val="20"/>
                <w:szCs w:val="20"/>
                <w:lang w:val="pl-PL"/>
              </w:rPr>
            </w:pP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Andrzej Olechowski</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19%</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Igor Chalupec</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-87%</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700%</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Stanisław Sołtysiński</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Shirish Apte</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Marek Kapuściński</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22.09.2016</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461%</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Anna Rulkiewicz</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22.06.2017 i od 05.06.2019</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32%</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225%</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Barbara Smalska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05.06.2019</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258%</w:t>
            </w:r>
          </w:p>
        </w:tc>
      </w:tr>
      <w:tr w:rsidR="005046EB" w:rsidRPr="005046EB" w:rsidTr="005046EB">
        <w:trPr>
          <w:trHeight w:val="288"/>
        </w:trPr>
        <w:tc>
          <w:tcPr>
            <w:tcW w:w="1453" w:type="pct"/>
            <w:shd w:val="clear" w:color="auto" w:fill="E7E6E6"/>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i/>
                <w:sz w:val="17"/>
                <w:szCs w:val="17"/>
                <w:lang w:val="pl-PL"/>
              </w:rPr>
              <w:t>Byli członkowie Rady Nadzorczej</w:t>
            </w:r>
          </w:p>
        </w:tc>
        <w:tc>
          <w:tcPr>
            <w:tcW w:w="1324" w:type="pct"/>
            <w:shd w:val="clear" w:color="auto" w:fill="E7E6E6"/>
            <w:noWrap/>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351"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360"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c>
          <w:tcPr>
            <w:tcW w:w="432" w:type="pct"/>
            <w:shd w:val="clear" w:color="auto" w:fill="E7E6E6"/>
            <w:noWrap/>
            <w:vAlign w:val="center"/>
          </w:tcPr>
          <w:p w:rsidR="005046EB" w:rsidRPr="005046EB" w:rsidRDefault="005046EB" w:rsidP="005046EB">
            <w:pPr>
              <w:spacing w:after="0" w:line="240" w:lineRule="auto"/>
              <w:jc w:val="right"/>
              <w:rPr>
                <w:rFonts w:ascii="Arial" w:eastAsia="Times New Roman" w:hAnsi="Arial" w:cs="Times New Roman"/>
                <w:sz w:val="17"/>
                <w:szCs w:val="17"/>
                <w:lang w:val="pl-PL"/>
              </w:rPr>
            </w:pP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Grzegorz Bielicki</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06.12.2017 do 04.06.2019</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-46%</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Marek Belka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od 22.06.2017 do 04.06.2019</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273%</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-63%</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noWrap/>
            <w:vAlign w:val="center"/>
            <w:hideMark/>
          </w:tcPr>
          <w:p w:rsidR="005046EB" w:rsidRPr="005046EB" w:rsidRDefault="005046EB" w:rsidP="005046EB">
            <w:pPr>
              <w:spacing w:after="0" w:line="240" w:lineRule="auto"/>
              <w:rPr>
                <w:rFonts w:ascii="Arial" w:eastAsia="Times New Roman" w:hAnsi="Arial" w:cs="Times New Roman"/>
                <w:i/>
                <w:sz w:val="17"/>
                <w:szCs w:val="17"/>
                <w:lang w:val="pl-PL"/>
              </w:rPr>
            </w:pPr>
            <w:r w:rsidRPr="005046EB">
              <w:rPr>
                <w:rFonts w:ascii="Arial" w:eastAsia="Times New Roman" w:hAnsi="Arial" w:cs="Times New Roman"/>
                <w:sz w:val="17"/>
                <w:szCs w:val="17"/>
                <w:lang w:val="pl-PL"/>
              </w:rPr>
              <w:t>Mirosław Gryszka</w:t>
            </w:r>
          </w:p>
        </w:tc>
        <w:tc>
          <w:tcPr>
            <w:tcW w:w="1324"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05.12.2017</w:t>
            </w:r>
          </w:p>
        </w:tc>
        <w:tc>
          <w:tcPr>
            <w:tcW w:w="351"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22%</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-10%</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-94%</w:t>
            </w:r>
          </w:p>
        </w:tc>
        <w:tc>
          <w:tcPr>
            <w:tcW w:w="360"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1453"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Dariusz Mioduski</w:t>
            </w:r>
          </w:p>
        </w:tc>
        <w:tc>
          <w:tcPr>
            <w:tcW w:w="1324"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30.06.2016</w:t>
            </w:r>
          </w:p>
        </w:tc>
        <w:tc>
          <w:tcPr>
            <w:tcW w:w="351"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48%</w:t>
            </w:r>
          </w:p>
        </w:tc>
        <w:tc>
          <w:tcPr>
            <w:tcW w:w="360"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-42%</w:t>
            </w:r>
          </w:p>
        </w:tc>
        <w:tc>
          <w:tcPr>
            <w:tcW w:w="360"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360"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c>
          <w:tcPr>
            <w:tcW w:w="432" w:type="pct"/>
            <w:tcBorders>
              <w:top w:val="nil"/>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w:t>
            </w:r>
          </w:p>
        </w:tc>
      </w:tr>
      <w:tr w:rsidR="005046EB" w:rsidRPr="005046EB" w:rsidTr="005046EB">
        <w:trPr>
          <w:trHeight w:val="288"/>
        </w:trPr>
        <w:tc>
          <w:tcPr>
            <w:tcW w:w="2777" w:type="pct"/>
            <w:gridSpan w:val="2"/>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Zmiana średniego wynagrodzenia pozostałych pracowników</w:t>
            </w:r>
          </w:p>
        </w:tc>
        <w:tc>
          <w:tcPr>
            <w:tcW w:w="351"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0%</w:t>
            </w: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7%</w:t>
            </w: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-12%</w:t>
            </w: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20%</w:t>
            </w:r>
          </w:p>
        </w:tc>
        <w:tc>
          <w:tcPr>
            <w:tcW w:w="360"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w:t>
            </w:r>
          </w:p>
        </w:tc>
        <w:tc>
          <w:tcPr>
            <w:tcW w:w="432" w:type="pct"/>
            <w:tcBorders>
              <w:top w:val="single" w:sz="8" w:space="0" w:color="4472C4"/>
              <w:left w:val="nil"/>
              <w:bottom w:val="single" w:sz="8"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5%</w:t>
            </w:r>
          </w:p>
        </w:tc>
      </w:tr>
      <w:tr w:rsidR="005046EB" w:rsidRPr="005046EB" w:rsidTr="005046EB">
        <w:trPr>
          <w:trHeight w:val="288"/>
        </w:trPr>
        <w:tc>
          <w:tcPr>
            <w:tcW w:w="1453"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Zmiana wyników Banku</w:t>
            </w:r>
          </w:p>
        </w:tc>
        <w:tc>
          <w:tcPr>
            <w:tcW w:w="1324"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b/>
                <w:bCs/>
                <w:sz w:val="17"/>
                <w:szCs w:val="17"/>
                <w:lang w:val="pl-PL"/>
              </w:rPr>
            </w:pPr>
          </w:p>
        </w:tc>
        <w:tc>
          <w:tcPr>
            <w:tcW w:w="351"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-36%</w:t>
            </w:r>
          </w:p>
        </w:tc>
        <w:tc>
          <w:tcPr>
            <w:tcW w:w="36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-3%</w:t>
            </w:r>
          </w:p>
        </w:tc>
        <w:tc>
          <w:tcPr>
            <w:tcW w:w="36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-11%</w:t>
            </w:r>
          </w:p>
        </w:tc>
        <w:tc>
          <w:tcPr>
            <w:tcW w:w="36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22%</w:t>
            </w:r>
          </w:p>
        </w:tc>
        <w:tc>
          <w:tcPr>
            <w:tcW w:w="360"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-27%</w:t>
            </w:r>
          </w:p>
        </w:tc>
        <w:tc>
          <w:tcPr>
            <w:tcW w:w="432" w:type="pct"/>
            <w:tcBorders>
              <w:top w:val="single" w:sz="8" w:space="0" w:color="4472C4"/>
              <w:left w:val="nil"/>
              <w:bottom w:val="double" w:sz="4"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-67%</w:t>
            </w:r>
          </w:p>
        </w:tc>
      </w:tr>
    </w:tbl>
    <w:p w:rsidR="005046EB" w:rsidRPr="005046EB" w:rsidRDefault="005046EB" w:rsidP="005046EB">
      <w:pPr>
        <w:spacing w:before="120" w:after="60" w:line="256" w:lineRule="auto"/>
        <w:rPr>
          <w:rFonts w:ascii="Arial" w:eastAsia="SimSun" w:hAnsi="Arial" w:cs="Times New Roman"/>
          <w:bCs/>
          <w:color w:val="auto"/>
          <w:sz w:val="17"/>
          <w:szCs w:val="17"/>
          <w:lang w:val="pl-PL" w:eastAsia="zh-CN"/>
        </w:rPr>
      </w:pPr>
      <w:r w:rsidRPr="005046EB">
        <w:rPr>
          <w:rFonts w:ascii="Arial" w:eastAsia="SimSun" w:hAnsi="Arial" w:cs="Times New Roman"/>
          <w:bCs/>
          <w:color w:val="auto"/>
          <w:sz w:val="17"/>
          <w:szCs w:val="17"/>
          <w:lang w:val="pl-PL" w:eastAsia="zh-CN"/>
        </w:rPr>
        <w:t>Objaśnienia i komentarze do tabeli:</w:t>
      </w:r>
    </w:p>
    <w:p w:rsidR="005046EB" w:rsidRPr="005046EB" w:rsidRDefault="005046EB" w:rsidP="00223F2E">
      <w:pPr>
        <w:numPr>
          <w:ilvl w:val="0"/>
          <w:numId w:val="21"/>
        </w:numPr>
        <w:spacing w:after="60" w:line="256" w:lineRule="auto"/>
        <w:ind w:left="426"/>
        <w:jc w:val="both"/>
        <w:rPr>
          <w:rFonts w:ascii="Arial" w:eastAsia="Times New Roman" w:hAnsi="Arial" w:cs="Arial"/>
          <w:bCs/>
          <w:color w:val="auto"/>
          <w:sz w:val="17"/>
          <w:szCs w:val="17"/>
          <w:lang w:val="pl-PL" w:eastAsia="zh-CN"/>
        </w:rPr>
      </w:pPr>
      <w:r w:rsidRPr="005046EB">
        <w:rPr>
          <w:rFonts w:ascii="Arial" w:eastAsia="Times New Roman" w:hAnsi="Arial" w:cs="Arial"/>
          <w:bCs/>
          <w:color w:val="auto"/>
          <w:sz w:val="17"/>
          <w:szCs w:val="17"/>
          <w:lang w:val="pl-PL" w:eastAsia="zh-CN"/>
        </w:rPr>
        <w:t>Dane wskazane dla danego roku odnoszą się do zmiany wartości między rokiem, dla którego prezentowane są dane, a rokiem poprzedzającym.</w:t>
      </w:r>
    </w:p>
    <w:p w:rsidR="005046EB" w:rsidRPr="005046EB" w:rsidRDefault="005046EB" w:rsidP="00223F2E">
      <w:pPr>
        <w:numPr>
          <w:ilvl w:val="0"/>
          <w:numId w:val="21"/>
        </w:numPr>
        <w:spacing w:after="60" w:line="256" w:lineRule="auto"/>
        <w:ind w:left="426"/>
        <w:jc w:val="both"/>
        <w:rPr>
          <w:rFonts w:ascii="Arial" w:eastAsia="Times New Roman" w:hAnsi="Arial" w:cs="Arial"/>
          <w:bCs/>
          <w:color w:val="auto"/>
          <w:sz w:val="17"/>
          <w:szCs w:val="17"/>
          <w:lang w:val="pl-PL" w:eastAsia="zh-CN"/>
        </w:rPr>
      </w:pPr>
      <w:r w:rsidRPr="005046EB">
        <w:rPr>
          <w:rFonts w:ascii="Arial" w:eastAsia="Times New Roman" w:hAnsi="Arial" w:cs="Arial"/>
          <w:bCs/>
          <w:color w:val="auto"/>
          <w:sz w:val="17"/>
          <w:szCs w:val="17"/>
          <w:lang w:val="pl-PL" w:eastAsia="zh-CN"/>
        </w:rPr>
        <w:t>Dla lat 2015-2018 kalkulacja zmian wynagrodzenia członków Zarządu i Rady Nadzorczej Banku została przeprowadzona w oparciu o dane zgodne z wartościami wskazanymi w sprawozdaniach z działalności Banku za odpowiednie lata. Kalkulacja zmian średniego wynagrodzenia pozostałych pracowników została przeprowadzona w oparciu o przychód uzyskany przez tych pracownikom w danym roku oraz sumę etatów tych pracowników; wynagrodzenia członków Zarządu i Rady Nadzorczej ujęte są wyłącznie w zestawieniu imiennym.</w:t>
      </w:r>
    </w:p>
    <w:p w:rsidR="005046EB" w:rsidRPr="005046EB" w:rsidRDefault="005046EB" w:rsidP="00223F2E">
      <w:pPr>
        <w:numPr>
          <w:ilvl w:val="0"/>
          <w:numId w:val="21"/>
        </w:numPr>
        <w:spacing w:after="60" w:line="288" w:lineRule="auto"/>
        <w:ind w:left="426"/>
        <w:jc w:val="both"/>
        <w:rPr>
          <w:rFonts w:ascii="Arial" w:eastAsia="Times New Roman" w:hAnsi="Arial" w:cs="Arial"/>
          <w:bCs/>
          <w:color w:val="auto"/>
          <w:sz w:val="17"/>
          <w:szCs w:val="17"/>
          <w:lang w:val="pl-PL" w:eastAsia="zh-CN"/>
        </w:rPr>
      </w:pPr>
      <w:r w:rsidRPr="005046EB">
        <w:rPr>
          <w:rFonts w:ascii="Arial" w:eastAsia="Times New Roman" w:hAnsi="Arial" w:cs="Arial"/>
          <w:bCs/>
          <w:color w:val="auto"/>
          <w:sz w:val="17"/>
          <w:szCs w:val="17"/>
          <w:lang w:val="pl-PL" w:eastAsia="zh-CN"/>
        </w:rPr>
        <w:t>Kalkulacja zmian wyników Banku została przeprowadzona w oparciu o wynik netto Banku za odpowiednie lata.</w:t>
      </w:r>
    </w:p>
    <w:p w:rsidR="005046EB" w:rsidRPr="005046EB" w:rsidRDefault="005046EB" w:rsidP="00223F2E">
      <w:pPr>
        <w:numPr>
          <w:ilvl w:val="0"/>
          <w:numId w:val="21"/>
        </w:numPr>
        <w:spacing w:after="60" w:line="256" w:lineRule="auto"/>
        <w:ind w:left="426"/>
        <w:jc w:val="both"/>
        <w:rPr>
          <w:rFonts w:ascii="Arial" w:eastAsia="Times New Roman" w:hAnsi="Arial" w:cs="Arial"/>
          <w:bCs/>
          <w:color w:val="auto"/>
          <w:sz w:val="17"/>
          <w:szCs w:val="17"/>
          <w:lang w:val="pl-PL" w:eastAsia="zh-CN"/>
        </w:rPr>
      </w:pPr>
      <w:r w:rsidRPr="005046EB">
        <w:rPr>
          <w:rFonts w:ascii="Arial" w:eastAsia="Times New Roman" w:hAnsi="Arial" w:cs="Arial"/>
          <w:bCs/>
          <w:color w:val="auto"/>
          <w:sz w:val="17"/>
          <w:szCs w:val="17"/>
          <w:lang w:val="pl-PL" w:eastAsia="zh-CN"/>
        </w:rPr>
        <w:t>Zestawienie imienne nie obejmuje tych osób, które obecnie pełnią swoje funkcje w Banku, ale w latach objętych analizą nie otrzymali wynagrodzenia.</w:t>
      </w:r>
    </w:p>
    <w:p w:rsidR="005046EB" w:rsidRPr="005046EB" w:rsidRDefault="005046EB" w:rsidP="00223F2E">
      <w:pPr>
        <w:numPr>
          <w:ilvl w:val="0"/>
          <w:numId w:val="21"/>
        </w:numPr>
        <w:spacing w:after="60" w:line="256" w:lineRule="auto"/>
        <w:ind w:left="426"/>
        <w:jc w:val="both"/>
        <w:rPr>
          <w:rFonts w:ascii="Arial" w:eastAsia="Times New Roman" w:hAnsi="Arial" w:cs="Arial"/>
          <w:bCs/>
          <w:color w:val="auto"/>
          <w:sz w:val="17"/>
          <w:szCs w:val="17"/>
          <w:lang w:val="pl-PL" w:eastAsia="zh-CN"/>
        </w:rPr>
      </w:pPr>
      <w:r w:rsidRPr="005046EB">
        <w:rPr>
          <w:rFonts w:ascii="Arial" w:eastAsia="Times New Roman" w:hAnsi="Arial" w:cs="Arial"/>
          <w:bCs/>
          <w:color w:val="auto"/>
          <w:sz w:val="17"/>
          <w:szCs w:val="17"/>
          <w:lang w:val="pl-PL" w:eastAsia="zh-CN"/>
        </w:rPr>
        <w:t>Wypłaty na rzecz byłych członków Zarządu realizowane po rozwiązaniu umowy są związane z płatnościami odroczonych transz wynagrodzenia zmiennego w formie pieniężnej i w formie akcji fantomowych Banku.</w:t>
      </w:r>
    </w:p>
    <w:p w:rsidR="005046EB" w:rsidRPr="005046EB" w:rsidRDefault="005046EB" w:rsidP="00223F2E">
      <w:pPr>
        <w:numPr>
          <w:ilvl w:val="0"/>
          <w:numId w:val="21"/>
        </w:numPr>
        <w:spacing w:after="60" w:line="256" w:lineRule="auto"/>
        <w:ind w:left="426"/>
        <w:jc w:val="both"/>
        <w:rPr>
          <w:rFonts w:ascii="Arial" w:eastAsia="Times New Roman" w:hAnsi="Arial" w:cs="Arial"/>
          <w:bCs/>
          <w:color w:val="auto"/>
          <w:sz w:val="17"/>
          <w:szCs w:val="17"/>
          <w:lang w:val="pl-PL" w:eastAsia="zh-CN"/>
        </w:rPr>
      </w:pPr>
      <w:r w:rsidRPr="005046EB">
        <w:rPr>
          <w:rFonts w:ascii="Arial" w:eastAsia="Times New Roman" w:hAnsi="Arial" w:cs="Arial"/>
          <w:bCs/>
          <w:color w:val="auto"/>
          <w:sz w:val="17"/>
          <w:szCs w:val="17"/>
          <w:lang w:val="pl-PL" w:eastAsia="zh-CN"/>
        </w:rPr>
        <w:t xml:space="preserve"> „*” oznaczono pierwszy rok pełnienia funkcji; dla osób, które nie były zatrudnione przez cały rok, % zmiana wynagrodzenia w dużej mierze wynika z tego, że w kolejnym roku wynagrodzenie było wypłacone za cały rok pełnienia funkcji.</w:t>
      </w:r>
    </w:p>
    <w:p w:rsidR="005046EB" w:rsidRPr="005046EB" w:rsidRDefault="005046EB" w:rsidP="00223F2E">
      <w:pPr>
        <w:numPr>
          <w:ilvl w:val="0"/>
          <w:numId w:val="21"/>
        </w:numPr>
        <w:spacing w:after="60" w:line="256" w:lineRule="auto"/>
        <w:ind w:left="426"/>
        <w:jc w:val="both"/>
        <w:rPr>
          <w:rFonts w:ascii="Arial" w:hAnsi="Arial" w:cs="Arial"/>
          <w:b/>
          <w:sz w:val="17"/>
          <w:szCs w:val="17"/>
          <w:lang w:val="pl-PL"/>
        </w:rPr>
      </w:pPr>
      <w:r w:rsidRPr="005046EB">
        <w:rPr>
          <w:rFonts w:ascii="Arial" w:eastAsia="Times New Roman" w:hAnsi="Arial" w:cs="Arial"/>
          <w:bCs/>
          <w:color w:val="auto"/>
          <w:sz w:val="17"/>
          <w:szCs w:val="17"/>
          <w:lang w:val="pl-PL" w:eastAsia="zh-CN"/>
        </w:rPr>
        <w:t>„**” oznacza pierwszy rok, w którym członek Zarządu lub Rady Nadzorczej po zakończeniu pełnienia funkcji w Banku nie otrzymywał wynagrodzenia.</w:t>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t>Wysokość wynagrodzenia członków Zarządu i członków Rady Nadzorczej Banku od podmiotów należących do tej samej grupy kapitałowej</w:t>
      </w:r>
    </w:p>
    <w:p w:rsidR="005046EB" w:rsidRPr="005046EB" w:rsidRDefault="005046EB" w:rsidP="005046EB">
      <w:pPr>
        <w:spacing w:after="120" w:line="288" w:lineRule="auto"/>
        <w:ind w:left="851"/>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Członkowie Zarządu Banku zasiadający w organach nadzorczych jednostek zależnych Banku nie pobierali w 2019 i 2020 roku wynagrodzenia z tytułu pełnionych funkcji.</w:t>
      </w:r>
    </w:p>
    <w:p w:rsidR="005046EB" w:rsidRPr="005046EB" w:rsidRDefault="005046EB" w:rsidP="005046EB">
      <w:pPr>
        <w:spacing w:after="120" w:line="288" w:lineRule="auto"/>
        <w:ind w:left="851"/>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lastRenderedPageBreak/>
        <w:t>Członkowie Rady Nadzorczej Banku nie pełnili funkcji w organach zarządczych ani nadzorczych jednostek zależnych Banku i w związku z tym nie otrzymali w 2019 i 2020 roku wynagrodzenia od tych jednostek.</w:t>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t>Wynagrodzenie członków Zarządu i Rady Nadzorczej Banku w formie instrumentów finansowych</w:t>
      </w:r>
    </w:p>
    <w:p w:rsidR="005046EB" w:rsidRP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 xml:space="preserve">Członkom Zarządu Banku przyznawane jest wynagrodzenie zmienne w formie akcji fantomowych. </w:t>
      </w:r>
    </w:p>
    <w:p w:rsidR="005046EB" w:rsidRP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Akcje fantomowe to instrumenty finansowe, których wartość zależy od wartości akcji Banku; nie są to akcje rzeczywiste, nie można ich umorzyć w zamian za akcje Banku i nie upoważniają do głosowania ani otrzymywania dywidend ani innych kwot do podziału od Banku, do otrzymania których mogą być uprawnieni akcjonariusze Banku; nie stanowią udziału własnościowego jakiegokolwiek rodzaju w Banku, ani w żadnym innym podmiocie, ani w żadnych aktywach; same w sobie nie mają żadnej odrębnej wartości, służą jedynie do określenia wartości gotówkowej wynagrodzenia zmiennego przez odniesienie do ceny rynkowej akcji Banku.</w:t>
      </w:r>
    </w:p>
    <w:p w:rsidR="005046EB" w:rsidRP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W dniu rozliczenia członkom Zarządu wypłacona jest kwota środków pieniężnych stanowiąca iloczyn akcji fantomowych, do których nabyte zostały prawa oraz średniej arytmetycznej najniższej i najwyższej ceny akcji Banku na Giełdzie Papierów Wartościowych w Warszawie w dniu zapadalności nagrody (zakończenia okresu retencji). Nabycie uprawnienia jest każdorazowo potwierdzane decyzją Rady Nadzorczej. W okresie odroczenia i w okresie retencji członkowie Zarządu są uprawnieni do otrzymania ekwiwalentu dywidendy w przypadku, gdy dywidenda zostanie uchwalona i wypłacona posiadaczom akcji zwykłych Banku.</w:t>
      </w:r>
    </w:p>
    <w:p w:rsidR="005046EB" w:rsidRPr="005046EB" w:rsidRDefault="005046EB" w:rsidP="005046EB">
      <w:pPr>
        <w:spacing w:after="120" w:line="288" w:lineRule="auto"/>
        <w:ind w:left="851"/>
        <w:jc w:val="both"/>
        <w:rPr>
          <w:rFonts w:ascii="Arial" w:eastAsia="SimSun" w:hAnsi="Arial" w:cs="Times New Roman"/>
          <w:color w:val="auto"/>
          <w:lang w:val="pl-PL" w:eastAsia="zh-CN"/>
        </w:rPr>
      </w:pPr>
      <w:r w:rsidRPr="005046EB">
        <w:rPr>
          <w:rFonts w:ascii="Arial" w:eastAsia="SimSun" w:hAnsi="Arial" w:cs="Times New Roman"/>
          <w:color w:val="auto"/>
          <w:sz w:val="20"/>
          <w:szCs w:val="20"/>
          <w:lang w:val="pl-PL" w:eastAsia="zh-CN"/>
        </w:rPr>
        <w:t>W poniższej tabeli zaprezentowane informacje dotyczące akcji fantomowych przyznanych (w tym warunkowo) Członkom Zarządu w 2019 (za rok 2018), które mogą podlegać wypłacie w latach 2019 – 2025</w:t>
      </w:r>
      <w:r w:rsidRPr="005046EB">
        <w:rPr>
          <w:rFonts w:ascii="Arial" w:eastAsia="SimSun" w:hAnsi="Arial" w:cs="Times New Roman"/>
          <w:color w:val="auto"/>
          <w:lang w:val="pl-PL" w:eastAsia="zh-CN"/>
        </w:rPr>
        <w:t>.</w:t>
      </w:r>
    </w:p>
    <w:tbl>
      <w:tblPr>
        <w:tblW w:w="5000" w:type="pct"/>
        <w:tblLook w:val="04A0" w:firstRow="1" w:lastRow="0" w:firstColumn="1" w:lastColumn="0" w:noHBand="0" w:noVBand="1"/>
      </w:tblPr>
      <w:tblGrid>
        <w:gridCol w:w="1808"/>
        <w:gridCol w:w="1480"/>
        <w:gridCol w:w="2215"/>
        <w:gridCol w:w="1924"/>
        <w:gridCol w:w="2211"/>
      </w:tblGrid>
      <w:tr w:rsidR="005046EB" w:rsidRPr="005046EB" w:rsidTr="005046EB">
        <w:trPr>
          <w:trHeight w:val="283"/>
        </w:trPr>
        <w:tc>
          <w:tcPr>
            <w:tcW w:w="1706" w:type="pct"/>
            <w:gridSpan w:val="2"/>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rPr>
                <w:rFonts w:ascii="Arial" w:eastAsia="SimSun" w:hAnsi="Arial" w:cs="Times New Roman"/>
                <w:color w:val="auto"/>
                <w:lang w:val="pl-PL" w:eastAsia="zh-CN"/>
              </w:rPr>
            </w:pPr>
          </w:p>
        </w:tc>
        <w:tc>
          <w:tcPr>
            <w:tcW w:w="1149" w:type="pct"/>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Liczba akcji fantomowych</w:t>
            </w:r>
          </w:p>
        </w:tc>
        <w:tc>
          <w:tcPr>
            <w:tcW w:w="998" w:type="pct"/>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Data przyznania</w:t>
            </w:r>
          </w:p>
        </w:tc>
        <w:tc>
          <w:tcPr>
            <w:tcW w:w="1147" w:type="pct"/>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Cena w dniu przyznania</w:t>
            </w:r>
          </w:p>
        </w:tc>
      </w:tr>
      <w:tr w:rsidR="005046EB" w:rsidRPr="005046EB" w:rsidTr="005046EB">
        <w:trPr>
          <w:trHeight w:val="283"/>
        </w:trPr>
        <w:tc>
          <w:tcPr>
            <w:tcW w:w="938"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Sławomir S. Sikora</w:t>
            </w:r>
          </w:p>
        </w:tc>
        <w:tc>
          <w:tcPr>
            <w:tcW w:w="768" w:type="pct"/>
            <w:tcBorders>
              <w:top w:val="single" w:sz="12" w:space="0" w:color="4472C4"/>
              <w:left w:val="nil"/>
              <w:bottom w:val="nil"/>
              <w:right w:val="nil"/>
            </w:tcBorders>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16 088,42</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xml:space="preserve">Maciej Kropidłowski </w:t>
            </w:r>
          </w:p>
        </w:tc>
        <w:tc>
          <w:tcPr>
            <w:tcW w:w="768" w:type="pct"/>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20 260,50</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David Mouillé</w:t>
            </w:r>
          </w:p>
        </w:tc>
        <w:tc>
          <w:tcPr>
            <w:tcW w:w="76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14 130,43</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Barbara Sobala</w:t>
            </w:r>
          </w:p>
        </w:tc>
        <w:tc>
          <w:tcPr>
            <w:tcW w:w="76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4 000,72</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Katarzyna Majewska</w:t>
            </w:r>
          </w:p>
        </w:tc>
        <w:tc>
          <w:tcPr>
            <w:tcW w:w="768" w:type="pct"/>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4 052,10</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Natalia Bożek</w:t>
            </w:r>
          </w:p>
        </w:tc>
        <w:tc>
          <w:tcPr>
            <w:tcW w:w="76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1 905,04</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r w:rsidR="005046EB" w:rsidRPr="005046EB" w:rsidTr="005046EB">
        <w:trPr>
          <w:trHeight w:val="283"/>
        </w:trPr>
        <w:tc>
          <w:tcPr>
            <w:tcW w:w="1706" w:type="pct"/>
            <w:gridSpan w:val="2"/>
            <w:shd w:val="clear" w:color="auto" w:fill="E7E6E6"/>
            <w:noWrap/>
            <w:vAlign w:val="center"/>
            <w:hideMark/>
          </w:tcPr>
          <w:p w:rsidR="005046EB" w:rsidRPr="005046EB" w:rsidRDefault="005046EB" w:rsidP="005046EB">
            <w:pPr>
              <w:spacing w:after="0" w:line="240" w:lineRule="auto"/>
              <w:rPr>
                <w:rFonts w:ascii="Arial" w:eastAsia="Times New Roman" w:hAnsi="Arial" w:cs="Times New Roman"/>
                <w:i/>
                <w:iCs/>
                <w:sz w:val="17"/>
                <w:szCs w:val="17"/>
                <w:lang w:val="pl-PL"/>
              </w:rPr>
            </w:pPr>
            <w:r w:rsidRPr="005046EB">
              <w:rPr>
                <w:rFonts w:ascii="Arial" w:eastAsia="Times New Roman" w:hAnsi="Arial" w:cs="Times New Roman"/>
                <w:i/>
                <w:iCs/>
                <w:sz w:val="17"/>
                <w:szCs w:val="17"/>
                <w:lang w:val="pl-PL"/>
              </w:rPr>
              <w:t>Byli członkowie Zarządu</w:t>
            </w:r>
          </w:p>
        </w:tc>
        <w:tc>
          <w:tcPr>
            <w:tcW w:w="1149" w:type="pct"/>
            <w:shd w:val="clear" w:color="auto" w:fill="E7E6E6"/>
            <w:noWrap/>
            <w:vAlign w:val="bottom"/>
            <w:hideMark/>
          </w:tcPr>
          <w:p w:rsidR="005046EB" w:rsidRPr="005046EB" w:rsidRDefault="005046EB" w:rsidP="005046EB">
            <w:pPr>
              <w:spacing w:after="0" w:line="240" w:lineRule="auto"/>
              <w:rPr>
                <w:rFonts w:eastAsia="Times New Roman"/>
                <w:lang w:val="pl-PL"/>
              </w:rPr>
            </w:pPr>
            <w:r w:rsidRPr="005046EB">
              <w:rPr>
                <w:rFonts w:eastAsia="Times New Roman"/>
                <w:lang w:val="pl-PL"/>
              </w:rPr>
              <w:t> </w:t>
            </w:r>
          </w:p>
        </w:tc>
        <w:tc>
          <w:tcPr>
            <w:tcW w:w="998" w:type="pct"/>
            <w:shd w:val="clear" w:color="auto" w:fill="E7E6E6"/>
            <w:noWrap/>
            <w:vAlign w:val="bottom"/>
            <w:hideMark/>
          </w:tcPr>
          <w:p w:rsidR="005046EB" w:rsidRPr="005046EB" w:rsidRDefault="005046EB" w:rsidP="005046EB">
            <w:pPr>
              <w:spacing w:after="0" w:line="240" w:lineRule="auto"/>
              <w:rPr>
                <w:rFonts w:eastAsia="Times New Roman"/>
                <w:lang w:val="pl-PL"/>
              </w:rPr>
            </w:pPr>
            <w:r w:rsidRPr="005046EB">
              <w:rPr>
                <w:rFonts w:eastAsia="Times New Roman"/>
                <w:lang w:val="pl-PL"/>
              </w:rPr>
              <w:t> </w:t>
            </w:r>
          </w:p>
        </w:tc>
        <w:tc>
          <w:tcPr>
            <w:tcW w:w="1147" w:type="pct"/>
            <w:shd w:val="clear" w:color="auto" w:fill="E7E6E6"/>
            <w:noWrap/>
            <w:vAlign w:val="bottom"/>
            <w:hideMark/>
          </w:tcPr>
          <w:p w:rsidR="005046EB" w:rsidRPr="005046EB" w:rsidRDefault="005046EB" w:rsidP="005046EB">
            <w:pPr>
              <w:spacing w:after="0" w:line="240" w:lineRule="auto"/>
              <w:rPr>
                <w:rFonts w:eastAsia="Times New Roman"/>
                <w:lang w:val="pl-PL"/>
              </w:rPr>
            </w:pPr>
            <w:r w:rsidRPr="005046EB">
              <w:rPr>
                <w:rFonts w:eastAsia="Times New Roman"/>
                <w:lang w:val="pl-PL"/>
              </w:rPr>
              <w:t> </w:t>
            </w:r>
          </w:p>
        </w:tc>
      </w:tr>
      <w:tr w:rsidR="005046EB" w:rsidRPr="005046EB" w:rsidTr="005046EB">
        <w:trPr>
          <w:trHeight w:val="283"/>
        </w:trPr>
        <w:tc>
          <w:tcPr>
            <w:tcW w:w="938"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Czesław Piasek</w:t>
            </w:r>
          </w:p>
        </w:tc>
        <w:tc>
          <w:tcPr>
            <w:tcW w:w="768"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Times New Roman" w:hAnsi="Arial" w:cs="Times New Roman"/>
                <w:sz w:val="17"/>
                <w:szCs w:val="17"/>
                <w:lang w:val="pl-PL"/>
              </w:rPr>
              <w:t>- do 31.03.2018</w:t>
            </w:r>
          </w:p>
        </w:tc>
        <w:tc>
          <w:tcPr>
            <w:tcW w:w="1149"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1 327,63</w:t>
            </w:r>
          </w:p>
        </w:tc>
        <w:tc>
          <w:tcPr>
            <w:tcW w:w="998"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14.01.2019</w:t>
            </w:r>
          </w:p>
        </w:tc>
        <w:tc>
          <w:tcPr>
            <w:tcW w:w="1147"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Times New Roman" w:hAnsi="Arial" w:cs="Times New Roman"/>
                <w:sz w:val="17"/>
                <w:szCs w:val="17"/>
                <w:lang w:val="pl-PL"/>
              </w:rPr>
              <w:t>69,10</w:t>
            </w:r>
          </w:p>
        </w:tc>
      </w:tr>
    </w:tbl>
    <w:p w:rsidR="005046EB" w:rsidRPr="005046EB" w:rsidRDefault="005046EB" w:rsidP="005046EB">
      <w:pPr>
        <w:spacing w:before="120"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 xml:space="preserve">Akcje z powyższej tabeli, tylko w części która została wypłacona w 2019 roku, zostały ujęte w punkcie 1) niniejszego sprawozdania w tabeli prezentującej nagrody kapitałowe wypłacone w 2019 roku. Pozostałe akcje mogą zostać wypłacone w kolejnych okresach sprawozdawczych.  </w:t>
      </w:r>
    </w:p>
    <w:p w:rsidR="005046EB" w:rsidRPr="005046EB" w:rsidRDefault="005046EB" w:rsidP="005046EB">
      <w:pPr>
        <w:spacing w:line="256" w:lineRule="auto"/>
        <w:rPr>
          <w:rFonts w:ascii="Arial" w:eastAsia="SimSun" w:hAnsi="Arial" w:cs="Times New Roman"/>
          <w:color w:val="auto"/>
          <w:lang w:val="pl-PL" w:eastAsia="en-GB"/>
        </w:rPr>
      </w:pPr>
      <w:r w:rsidRPr="005046EB">
        <w:rPr>
          <w:rFonts w:ascii="Arial" w:eastAsia="SimSun" w:hAnsi="Arial" w:cs="Times New Roman"/>
          <w:color w:val="auto"/>
          <w:lang w:val="pl-PL" w:eastAsia="zh-CN"/>
        </w:rPr>
        <w:br w:type="page"/>
      </w:r>
    </w:p>
    <w:p w:rsidR="005046EB" w:rsidRPr="005046EB" w:rsidRDefault="005046EB" w:rsidP="005046EB">
      <w:pPr>
        <w:spacing w:before="120" w:after="120" w:line="288" w:lineRule="auto"/>
        <w:ind w:left="851"/>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lastRenderedPageBreak/>
        <w:t>W poniższej tabeli zaprezentowane informacje dotyczące akcji fantomowych przyznanych (w tym warunkowo) Członkom Zarządu w 2020 (za rok 2019), które mogą podlegać wypłacie w latach 2020-2026.</w:t>
      </w:r>
    </w:p>
    <w:tbl>
      <w:tblPr>
        <w:tblW w:w="5000" w:type="pct"/>
        <w:tblLook w:val="04A0" w:firstRow="1" w:lastRow="0" w:firstColumn="1" w:lastColumn="0" w:noHBand="0" w:noVBand="1"/>
      </w:tblPr>
      <w:tblGrid>
        <w:gridCol w:w="1808"/>
        <w:gridCol w:w="1480"/>
        <w:gridCol w:w="2215"/>
        <w:gridCol w:w="1924"/>
        <w:gridCol w:w="2211"/>
      </w:tblGrid>
      <w:tr w:rsidR="005046EB" w:rsidRPr="005046EB" w:rsidTr="005046EB">
        <w:trPr>
          <w:trHeight w:val="283"/>
        </w:trPr>
        <w:tc>
          <w:tcPr>
            <w:tcW w:w="1706" w:type="pct"/>
            <w:gridSpan w:val="2"/>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rPr>
                <w:rFonts w:ascii="Arial" w:eastAsia="SimSun" w:hAnsi="Arial" w:cs="Times New Roman"/>
                <w:color w:val="auto"/>
                <w:sz w:val="20"/>
                <w:szCs w:val="20"/>
                <w:lang w:val="pl-PL" w:eastAsia="zh-CN"/>
              </w:rPr>
            </w:pPr>
          </w:p>
        </w:tc>
        <w:tc>
          <w:tcPr>
            <w:tcW w:w="1149" w:type="pct"/>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Liczba akcji fantomowych</w:t>
            </w:r>
          </w:p>
        </w:tc>
        <w:tc>
          <w:tcPr>
            <w:tcW w:w="998" w:type="pct"/>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Data przyznania</w:t>
            </w:r>
          </w:p>
        </w:tc>
        <w:tc>
          <w:tcPr>
            <w:tcW w:w="1147" w:type="pct"/>
            <w:tcBorders>
              <w:top w:val="double" w:sz="4" w:space="0" w:color="4472C4"/>
              <w:left w:val="nil"/>
              <w:bottom w:val="single" w:sz="12" w:space="0" w:color="4472C4"/>
              <w:right w:val="nil"/>
            </w:tcBorders>
            <w:vAlign w:val="center"/>
            <w:hideMark/>
          </w:tcPr>
          <w:p w:rsidR="005046EB" w:rsidRPr="005046EB" w:rsidRDefault="005046EB" w:rsidP="005046EB">
            <w:pPr>
              <w:spacing w:after="0" w:line="240" w:lineRule="auto"/>
              <w:jc w:val="center"/>
              <w:rPr>
                <w:rFonts w:ascii="Arial" w:eastAsia="Times New Roman" w:hAnsi="Arial" w:cs="Times New Roman"/>
                <w:b/>
                <w:bCs/>
                <w:sz w:val="17"/>
                <w:szCs w:val="17"/>
                <w:lang w:val="pl-PL"/>
              </w:rPr>
            </w:pPr>
            <w:r w:rsidRPr="005046EB">
              <w:rPr>
                <w:rFonts w:ascii="Arial" w:eastAsia="Times New Roman" w:hAnsi="Arial" w:cs="Times New Roman"/>
                <w:b/>
                <w:bCs/>
                <w:sz w:val="17"/>
                <w:szCs w:val="17"/>
                <w:lang w:val="pl-PL"/>
              </w:rPr>
              <w:t>Cena w dniu przyznania</w:t>
            </w:r>
          </w:p>
        </w:tc>
      </w:tr>
      <w:tr w:rsidR="005046EB" w:rsidRPr="005046EB" w:rsidTr="005046EB">
        <w:trPr>
          <w:trHeight w:val="283"/>
        </w:trPr>
        <w:tc>
          <w:tcPr>
            <w:tcW w:w="938" w:type="pct"/>
            <w:tcBorders>
              <w:top w:val="single" w:sz="12" w:space="0" w:color="4472C4"/>
              <w:left w:val="nil"/>
              <w:bottom w:val="nil"/>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Sławomir S. Sikora</w:t>
            </w:r>
          </w:p>
        </w:tc>
        <w:tc>
          <w:tcPr>
            <w:tcW w:w="768" w:type="pct"/>
            <w:tcBorders>
              <w:top w:val="single" w:sz="12" w:space="0" w:color="4472C4"/>
              <w:left w:val="nil"/>
              <w:bottom w:val="nil"/>
              <w:right w:val="nil"/>
            </w:tcBorders>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 </w:t>
            </w: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22 355,40</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 xml:space="preserve">Maciej Kropidłowski </w:t>
            </w:r>
          </w:p>
        </w:tc>
        <w:tc>
          <w:tcPr>
            <w:tcW w:w="768" w:type="pct"/>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22 238,90</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Barbara Sobala</w:t>
            </w:r>
          </w:p>
        </w:tc>
        <w:tc>
          <w:tcPr>
            <w:tcW w:w="76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5 499,61</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Katarzyna Majewska</w:t>
            </w:r>
          </w:p>
        </w:tc>
        <w:tc>
          <w:tcPr>
            <w:tcW w:w="76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4 366,44</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Natalia Bożek</w:t>
            </w:r>
          </w:p>
        </w:tc>
        <w:tc>
          <w:tcPr>
            <w:tcW w:w="768" w:type="pct"/>
            <w:vAlign w:val="center"/>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2 610,62</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r w:rsidR="005046EB" w:rsidRPr="005046EB" w:rsidTr="005046EB">
        <w:trPr>
          <w:trHeight w:val="283"/>
        </w:trPr>
        <w:tc>
          <w:tcPr>
            <w:tcW w:w="93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James Foley</w:t>
            </w:r>
          </w:p>
        </w:tc>
        <w:tc>
          <w:tcPr>
            <w:tcW w:w="768" w:type="pct"/>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p>
        </w:tc>
        <w:tc>
          <w:tcPr>
            <w:tcW w:w="1149"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10 358,95</w:t>
            </w:r>
          </w:p>
        </w:tc>
        <w:tc>
          <w:tcPr>
            <w:tcW w:w="998"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r w:rsidR="005046EB" w:rsidRPr="005046EB" w:rsidTr="005046EB">
        <w:trPr>
          <w:trHeight w:val="283"/>
        </w:trPr>
        <w:tc>
          <w:tcPr>
            <w:tcW w:w="1706" w:type="pct"/>
            <w:gridSpan w:val="2"/>
            <w:shd w:val="clear" w:color="auto" w:fill="E7E6E6"/>
            <w:noWrap/>
            <w:vAlign w:val="center"/>
            <w:hideMark/>
          </w:tcPr>
          <w:p w:rsidR="005046EB" w:rsidRPr="005046EB" w:rsidRDefault="005046EB" w:rsidP="005046EB">
            <w:pPr>
              <w:spacing w:after="0" w:line="240" w:lineRule="auto"/>
              <w:rPr>
                <w:rFonts w:ascii="Arial" w:eastAsia="Times New Roman" w:hAnsi="Arial" w:cs="Times New Roman"/>
                <w:i/>
                <w:iCs/>
                <w:sz w:val="17"/>
                <w:szCs w:val="17"/>
                <w:lang w:val="pl-PL"/>
              </w:rPr>
            </w:pPr>
            <w:r w:rsidRPr="005046EB">
              <w:rPr>
                <w:rFonts w:ascii="Arial" w:eastAsia="SimSun" w:hAnsi="Arial" w:cs="Times New Roman"/>
                <w:i/>
                <w:iCs/>
                <w:sz w:val="17"/>
                <w:szCs w:val="17"/>
                <w:lang w:val="pl-PL" w:eastAsia="zh-CN"/>
              </w:rPr>
              <w:t>Byli członkowie Zarządu</w:t>
            </w:r>
          </w:p>
        </w:tc>
        <w:tc>
          <w:tcPr>
            <w:tcW w:w="1149" w:type="pct"/>
            <w:shd w:val="clear" w:color="auto" w:fill="E7E6E6"/>
            <w:noWrap/>
            <w:vAlign w:val="bottom"/>
            <w:hideMark/>
          </w:tcPr>
          <w:p w:rsidR="005046EB" w:rsidRPr="005046EB" w:rsidRDefault="005046EB" w:rsidP="005046EB">
            <w:pPr>
              <w:spacing w:after="0" w:line="240" w:lineRule="auto"/>
              <w:rPr>
                <w:rFonts w:eastAsia="Times New Roman"/>
                <w:lang w:val="pl-PL"/>
              </w:rPr>
            </w:pPr>
            <w:r w:rsidRPr="005046EB">
              <w:rPr>
                <w:rFonts w:eastAsia="SimSun"/>
                <w:lang w:val="pl-PL" w:eastAsia="zh-CN"/>
              </w:rPr>
              <w:t> </w:t>
            </w:r>
          </w:p>
        </w:tc>
        <w:tc>
          <w:tcPr>
            <w:tcW w:w="998" w:type="pct"/>
            <w:shd w:val="clear" w:color="auto" w:fill="E7E6E6"/>
            <w:noWrap/>
            <w:vAlign w:val="bottom"/>
            <w:hideMark/>
          </w:tcPr>
          <w:p w:rsidR="005046EB" w:rsidRPr="005046EB" w:rsidRDefault="005046EB" w:rsidP="005046EB">
            <w:pPr>
              <w:spacing w:after="0" w:line="240" w:lineRule="auto"/>
              <w:rPr>
                <w:rFonts w:eastAsia="Times New Roman"/>
                <w:lang w:val="pl-PL"/>
              </w:rPr>
            </w:pPr>
            <w:r w:rsidRPr="005046EB">
              <w:rPr>
                <w:rFonts w:eastAsia="SimSun"/>
                <w:lang w:val="pl-PL" w:eastAsia="zh-CN"/>
              </w:rPr>
              <w:t> </w:t>
            </w:r>
          </w:p>
        </w:tc>
        <w:tc>
          <w:tcPr>
            <w:tcW w:w="1147" w:type="pct"/>
            <w:shd w:val="clear" w:color="auto" w:fill="E7E6E6"/>
            <w:noWrap/>
            <w:vAlign w:val="bottom"/>
            <w:hideMark/>
          </w:tcPr>
          <w:p w:rsidR="005046EB" w:rsidRPr="005046EB" w:rsidRDefault="005046EB" w:rsidP="005046EB">
            <w:pPr>
              <w:spacing w:after="0" w:line="240" w:lineRule="auto"/>
              <w:rPr>
                <w:rFonts w:eastAsia="Times New Roman"/>
                <w:lang w:val="pl-PL"/>
              </w:rPr>
            </w:pPr>
            <w:r w:rsidRPr="005046EB">
              <w:rPr>
                <w:rFonts w:eastAsia="SimSun"/>
                <w:lang w:val="pl-PL" w:eastAsia="zh-CN"/>
              </w:rPr>
              <w:t> </w:t>
            </w:r>
          </w:p>
        </w:tc>
      </w:tr>
      <w:tr w:rsidR="005046EB" w:rsidRPr="005046EB" w:rsidTr="005046EB">
        <w:trPr>
          <w:trHeight w:val="283"/>
        </w:trPr>
        <w:tc>
          <w:tcPr>
            <w:tcW w:w="938"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David Mouillé</w:t>
            </w:r>
          </w:p>
        </w:tc>
        <w:tc>
          <w:tcPr>
            <w:tcW w:w="768"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 do 31.01.2020</w:t>
            </w:r>
          </w:p>
        </w:tc>
        <w:tc>
          <w:tcPr>
            <w:tcW w:w="1149"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16 689,12</w:t>
            </w:r>
          </w:p>
        </w:tc>
        <w:tc>
          <w:tcPr>
            <w:tcW w:w="998"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14.01.2020</w:t>
            </w:r>
          </w:p>
        </w:tc>
        <w:tc>
          <w:tcPr>
            <w:tcW w:w="1147" w:type="pct"/>
            <w:tcBorders>
              <w:top w:val="nil"/>
              <w:left w:val="nil"/>
              <w:bottom w:val="double" w:sz="6" w:space="0" w:color="4472C4"/>
              <w:right w:val="nil"/>
            </w:tcBorders>
            <w:noWrap/>
            <w:vAlign w:val="center"/>
            <w:hideMark/>
          </w:tcPr>
          <w:p w:rsidR="005046EB" w:rsidRPr="005046EB" w:rsidRDefault="005046EB" w:rsidP="005046EB">
            <w:pPr>
              <w:spacing w:after="0" w:line="240" w:lineRule="auto"/>
              <w:jc w:val="right"/>
              <w:rPr>
                <w:rFonts w:ascii="Arial" w:eastAsia="Times New Roman" w:hAnsi="Arial" w:cs="Times New Roman"/>
                <w:sz w:val="17"/>
                <w:szCs w:val="17"/>
                <w:lang w:val="pl-PL"/>
              </w:rPr>
            </w:pPr>
            <w:r w:rsidRPr="005046EB">
              <w:rPr>
                <w:rFonts w:ascii="Arial" w:eastAsia="SimSun" w:hAnsi="Arial" w:cs="Times New Roman"/>
                <w:sz w:val="17"/>
                <w:szCs w:val="17"/>
                <w:lang w:val="pl-PL" w:eastAsia="zh-CN"/>
              </w:rPr>
              <w:t>52,56</w:t>
            </w:r>
          </w:p>
        </w:tc>
      </w:tr>
    </w:tbl>
    <w:p w:rsidR="005046EB" w:rsidRPr="005046EB" w:rsidRDefault="005046EB" w:rsidP="005046EB">
      <w:pPr>
        <w:spacing w:before="120" w:after="120" w:line="288" w:lineRule="auto"/>
        <w:ind w:left="993"/>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 xml:space="preserve">Akcje z powyższej tabeli, tylko w części która została wypłacona w 2020 roku, zostały ujęte w punkcie 1) niniejszego sprawozdania w tabeli prezentującej nagrody kapitałowe wypłacone w 2020 roku. Pozostałe akcje mogą zostać wypłacone w kolejnych okresach sprawozdawczych. </w:t>
      </w:r>
    </w:p>
    <w:p w:rsidR="005046EB" w:rsidRPr="005046EB" w:rsidRDefault="005046EB" w:rsidP="005046EB">
      <w:pPr>
        <w:spacing w:before="240" w:after="120" w:line="288" w:lineRule="auto"/>
        <w:ind w:left="993"/>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W latach 2019 i 2020 nie było przyznane wynagrodzenie w formie instrumentów finansowych dla członków Rady Nadzorczej.</w:t>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t>Informacja na temat korzystania z możliwości żądania zwrotu zmiennych składników wynagrodzenia</w:t>
      </w:r>
    </w:p>
    <w:p w:rsidR="005046EB" w:rsidRP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iCs/>
          <w:color w:val="auto"/>
          <w:sz w:val="20"/>
          <w:szCs w:val="20"/>
          <w:lang w:val="pl-PL" w:eastAsia="zh-CN"/>
        </w:rPr>
        <w:t xml:space="preserve">Polityka </w:t>
      </w:r>
      <w:r w:rsidRPr="005046EB">
        <w:rPr>
          <w:rFonts w:ascii="Arial" w:eastAsia="SimSun" w:hAnsi="Arial" w:cs="Times New Roman"/>
          <w:color w:val="auto"/>
          <w:sz w:val="20"/>
          <w:szCs w:val="20"/>
          <w:lang w:val="pl-PL" w:eastAsia="zh-CN"/>
        </w:rPr>
        <w:t>wynagrodzeń członków Zarządu i członków Rady Nadzorczej Banku Handlowego w Warszawie S.A. nie przewiduje możliwości żądania zwrotu wypłaconego wynagrodzenia.</w:t>
      </w:r>
    </w:p>
    <w:p w:rsidR="005046EB" w:rsidRPr="005046EB" w:rsidRDefault="005046EB" w:rsidP="005046EB">
      <w:pPr>
        <w:spacing w:after="120" w:line="288" w:lineRule="auto"/>
        <w:ind w:left="851"/>
        <w:jc w:val="both"/>
        <w:rPr>
          <w:rFonts w:ascii="Arial" w:eastAsia="SimSun" w:hAnsi="Arial" w:cs="Times New Roman"/>
          <w:bCs/>
          <w:color w:val="auto"/>
          <w:sz w:val="20"/>
          <w:szCs w:val="20"/>
          <w:lang w:val="pl-PL" w:eastAsia="zh-CN"/>
        </w:rPr>
      </w:pPr>
      <w:r w:rsidRPr="005046EB">
        <w:rPr>
          <w:rFonts w:ascii="Arial" w:eastAsia="SimSun" w:hAnsi="Arial" w:cs="Times New Roman"/>
          <w:color w:val="auto"/>
          <w:sz w:val="20"/>
          <w:szCs w:val="20"/>
          <w:lang w:val="pl-PL" w:eastAsia="zh-CN"/>
        </w:rPr>
        <w:t xml:space="preserve">Zgodnie z tą Polityką wysokość wypłacanej odroczonej części wynagrodzenia zmiennego członków Zarządu może zostać obniżona lub całkowicie zredukowana na mocy decyzji Rady Nadzorczej przy zastosowaniu kryteriów weryfikacji ex-post, opisanych w puncie 3) niniejszego sprawozdania. </w:t>
      </w:r>
      <w:r w:rsidRPr="005046EB">
        <w:rPr>
          <w:rFonts w:ascii="Arial" w:eastAsia="SimSun" w:hAnsi="Arial" w:cs="Times New Roman"/>
          <w:bCs/>
          <w:color w:val="auto"/>
          <w:sz w:val="20"/>
          <w:szCs w:val="20"/>
          <w:lang w:val="pl-PL" w:eastAsia="zh-CN"/>
        </w:rPr>
        <w:t xml:space="preserve">W latach 2019 i 2020 w stosunku do żadnego w członków Zarządu Banku nie dokonywano zmniejszeń wynagrodzenia zmiennego w ramach korekty związanej z wynikami. </w:t>
      </w:r>
    </w:p>
    <w:p w:rsidR="005046EB" w:rsidRPr="005046EB" w:rsidRDefault="005046EB" w:rsidP="005046EB">
      <w:pPr>
        <w:spacing w:after="120" w:line="288" w:lineRule="auto"/>
        <w:ind w:left="851"/>
        <w:jc w:val="both"/>
        <w:rPr>
          <w:rFonts w:ascii="Arial" w:eastAsia="SimSun" w:hAnsi="Arial" w:cs="Times New Roman"/>
          <w:iCs/>
          <w:color w:val="auto"/>
          <w:sz w:val="20"/>
          <w:szCs w:val="20"/>
          <w:lang w:val="pl-PL" w:eastAsia="zh-CN"/>
        </w:rPr>
      </w:pPr>
      <w:r w:rsidRPr="005046EB">
        <w:rPr>
          <w:rFonts w:ascii="Arial" w:eastAsia="SimSun" w:hAnsi="Arial" w:cs="Times New Roman"/>
          <w:color w:val="auto"/>
          <w:sz w:val="20"/>
          <w:szCs w:val="20"/>
          <w:lang w:val="pl-PL" w:eastAsia="zh-CN"/>
        </w:rPr>
        <w:t>W latach 2019 i 2020 członkom Rady Nadzorczej nie zostało przyznane wynagrodzenie zmienne.</w:t>
      </w: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Times New Roman"/>
          <w:b/>
          <w:color w:val="auto"/>
          <w:sz w:val="20"/>
          <w:szCs w:val="20"/>
          <w:lang w:val="pl-PL" w:eastAsia="zh-CN"/>
        </w:rPr>
      </w:pPr>
      <w:r w:rsidRPr="005046EB">
        <w:rPr>
          <w:rFonts w:ascii="Arial" w:eastAsia="SimSun" w:hAnsi="Arial" w:cs="Times New Roman"/>
          <w:b/>
          <w:color w:val="auto"/>
          <w:sz w:val="20"/>
          <w:szCs w:val="20"/>
          <w:lang w:val="pl-PL" w:eastAsia="zh-CN"/>
        </w:rPr>
        <w:t>Odstępstwa od procedury wdrażania Polityki oraz od stosowania Polityki</w:t>
      </w:r>
    </w:p>
    <w:p w:rsidR="005046EB" w:rsidRP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 xml:space="preserve">Polityka wynagrodzeń członków Zarządu i członków Rady Nadzorczej Banku Handlowego w Warszawie S.A. została zatwierdzona przez Radę Nadzorczą Banku po zasięgnięciu opinii Komitetu ds. Nominacji i Wynagrodzeń, a następnie przyjęta w drodze uchwały Walnego Zgromadzenia z dnia 4 czerwca 2020 roku. Do końca 2020 roku nie zaszły zmiany (w szczególności zmiany istotne), które wymagałyby wprowadzenia do Polityki. </w:t>
      </w:r>
    </w:p>
    <w:p w:rsidR="005046EB" w:rsidRP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 xml:space="preserve">Wynagrodzenia członków Zarządu i członków Rady Nadzorczej Banku były przyznawane i wypłacane zgodnie z Polityką. </w:t>
      </w:r>
    </w:p>
    <w:p w:rsidR="005046EB" w:rsidRDefault="005046EB" w:rsidP="005046EB">
      <w:pPr>
        <w:spacing w:after="120" w:line="288" w:lineRule="auto"/>
        <w:ind w:left="851"/>
        <w:jc w:val="both"/>
        <w:rPr>
          <w:rFonts w:ascii="Arial" w:eastAsia="SimSun" w:hAnsi="Arial" w:cs="Times New Roman"/>
          <w:color w:val="auto"/>
          <w:sz w:val="20"/>
          <w:szCs w:val="20"/>
          <w:lang w:val="pl-PL" w:eastAsia="zh-CN"/>
        </w:rPr>
      </w:pPr>
      <w:r w:rsidRPr="005046EB">
        <w:rPr>
          <w:rFonts w:ascii="Arial" w:eastAsia="SimSun" w:hAnsi="Arial" w:cs="Times New Roman"/>
          <w:color w:val="auto"/>
          <w:sz w:val="20"/>
          <w:szCs w:val="20"/>
          <w:lang w:val="pl-PL" w:eastAsia="zh-CN"/>
        </w:rPr>
        <w:t>Od momentu przyjęcia Polityki w dniu 4 czerwca 2020 roku nie wystąpiły odstępstwa od procedury wdrażania Polityki ani od jej stosowania.</w:t>
      </w:r>
    </w:p>
    <w:p w:rsidR="00A417F6" w:rsidRPr="005046EB" w:rsidRDefault="00A417F6" w:rsidP="005046EB">
      <w:pPr>
        <w:spacing w:after="120" w:line="288" w:lineRule="auto"/>
        <w:ind w:left="851"/>
        <w:jc w:val="both"/>
        <w:rPr>
          <w:rFonts w:ascii="Arial" w:eastAsia="SimSun" w:hAnsi="Arial" w:cs="Times New Roman"/>
          <w:color w:val="auto"/>
          <w:sz w:val="20"/>
          <w:szCs w:val="20"/>
          <w:lang w:val="pl-PL" w:eastAsia="zh-CN"/>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OCENA FUNKCJONOWANIA POLITYKI WYNAGRODZEŃ W BANKU HANDLOWYM W WARSZAWIE S.A.</w:t>
      </w:r>
    </w:p>
    <w:p w:rsidR="005046EB" w:rsidRPr="005046EB" w:rsidRDefault="005046EB" w:rsidP="005046EB">
      <w:pPr>
        <w:spacing w:after="0" w:line="240" w:lineRule="auto"/>
        <w:jc w:val="both"/>
        <w:rPr>
          <w:rFonts w:ascii="Arial" w:eastAsia="SimSun" w:hAnsi="Arial" w:cs="Arial"/>
          <w:b/>
          <w:bCs/>
          <w:color w:val="FF0000"/>
          <w:sz w:val="20"/>
          <w:szCs w:val="20"/>
          <w:lang w:val="pl-PL" w:eastAsia="zh-CN"/>
        </w:rPr>
      </w:pPr>
    </w:p>
    <w:p w:rsidR="005046EB" w:rsidRPr="005046EB" w:rsidRDefault="005046EB" w:rsidP="005046EB">
      <w:pPr>
        <w:spacing w:after="120" w:line="240" w:lineRule="auto"/>
        <w:ind w:left="357"/>
        <w:jc w:val="both"/>
        <w:rPr>
          <w:rFonts w:ascii="Arial" w:eastAsia="SimSun" w:hAnsi="Arial" w:cs="Times New Roman"/>
          <w:iCs/>
          <w:color w:val="auto"/>
          <w:sz w:val="20"/>
          <w:szCs w:val="24"/>
          <w:lang w:val="pl-PL" w:eastAsia="zh-CN"/>
        </w:rPr>
      </w:pPr>
      <w:r w:rsidRPr="005046EB">
        <w:rPr>
          <w:rFonts w:ascii="Arial" w:eastAsia="SimSun" w:hAnsi="Arial" w:cs="Times New Roman"/>
          <w:iCs/>
          <w:color w:val="auto"/>
          <w:sz w:val="20"/>
          <w:szCs w:val="24"/>
          <w:lang w:val="pl-PL" w:eastAsia="zh-CN"/>
        </w:rPr>
        <w:t>Zobowiązanie Rady Nadzorczej do dokonania oceny funkcjonowania polityki wynagrodzeń w Banku Handlowym w Warszawie S.A. wynika z § 28 ustęp 3 Zasad Ładu Korporacyjnego dla Instytucji Nadzorowanych, wydanych przez Komisję Nadzoru Finansowego 22 lipca 2014 roku, z datą obowiązywania od 1 stycznia 2015 roku.</w:t>
      </w:r>
    </w:p>
    <w:p w:rsidR="005046EB" w:rsidRPr="005046EB" w:rsidRDefault="005046EB" w:rsidP="005046EB">
      <w:pPr>
        <w:spacing w:after="120" w:line="240" w:lineRule="auto"/>
        <w:ind w:left="357"/>
        <w:jc w:val="both"/>
        <w:rPr>
          <w:rFonts w:ascii="Arial" w:eastAsia="SimSun" w:hAnsi="Arial" w:cs="Times New Roman"/>
          <w:iCs/>
          <w:color w:val="auto"/>
          <w:sz w:val="20"/>
          <w:szCs w:val="24"/>
          <w:lang w:val="pl-PL" w:eastAsia="zh-CN"/>
        </w:rPr>
      </w:pPr>
      <w:r w:rsidRPr="005046EB">
        <w:rPr>
          <w:rFonts w:ascii="Arial" w:eastAsia="SimSun" w:hAnsi="Arial" w:cs="Times New Roman"/>
          <w:iCs/>
          <w:color w:val="auto"/>
          <w:sz w:val="20"/>
          <w:szCs w:val="24"/>
          <w:lang w:val="pl-PL" w:eastAsia="zh-CN"/>
        </w:rPr>
        <w:t>W 2020 roku zagadnienia związane z wynagrodzeniami w Banku Handlowym w Warszawie S.A. („Bank”) regulowały:</w:t>
      </w:r>
    </w:p>
    <w:p w:rsidR="005046EB" w:rsidRPr="005046EB" w:rsidRDefault="005046EB" w:rsidP="00223F2E">
      <w:pPr>
        <w:numPr>
          <w:ilvl w:val="0"/>
          <w:numId w:val="22"/>
        </w:numPr>
        <w:spacing w:after="120" w:line="240" w:lineRule="auto"/>
        <w:ind w:left="709" w:hanging="283"/>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lastRenderedPageBreak/>
        <w:t>Polityka wynagrodzeń członków Zarządu i członków Rady Nadzorczej Banku Handlowego w Warszawie S.A. przyjęta przez Walne Zgromadzenie w drodze uchwały z dnia 4 czerwca 2020 roku („Polityka wynagrodzeń członków Zarządu i Rady Nadzorczej”),</w:t>
      </w:r>
    </w:p>
    <w:p w:rsidR="005046EB" w:rsidRPr="005046EB" w:rsidRDefault="005046EB" w:rsidP="00223F2E">
      <w:pPr>
        <w:numPr>
          <w:ilvl w:val="0"/>
          <w:numId w:val="22"/>
        </w:numPr>
        <w:spacing w:after="120" w:line="240" w:lineRule="auto"/>
        <w:ind w:left="709" w:hanging="283"/>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Polityka wynagrodzeń pracowników Banku Handlowego w Warszawie S.A. zatwierdzona uchwałą Rady Nadzorczej Banku z dnia 22 grudnia 2017 roku ("Polityka wynagrodzeń pracowników Banku") z późniejszymi zmianami,</w:t>
      </w:r>
    </w:p>
    <w:p w:rsidR="005046EB" w:rsidRPr="005046EB" w:rsidRDefault="005046EB" w:rsidP="00223F2E">
      <w:pPr>
        <w:numPr>
          <w:ilvl w:val="0"/>
          <w:numId w:val="22"/>
        </w:numPr>
        <w:spacing w:after="120" w:line="240" w:lineRule="auto"/>
        <w:ind w:left="709" w:hanging="283"/>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Polityka wynagrodzeń osób, których działalność zawodowa ma istotny wpływ na profil ryzyka Banku Handlowego w Warszawie S.A. z dnia 22 grudnia 2017 („Polityka wynagrodzeń Osób Uprawnionych”) z późniejszymi zmianami,</w:t>
      </w:r>
    </w:p>
    <w:p w:rsidR="005046EB" w:rsidRPr="005046EB" w:rsidRDefault="005046EB" w:rsidP="005046EB">
      <w:pPr>
        <w:spacing w:after="120" w:line="240" w:lineRule="auto"/>
        <w:ind w:left="357"/>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łącznie zwane „Polityką Wynagrodzeń”.</w:t>
      </w:r>
    </w:p>
    <w:p w:rsidR="005046EB" w:rsidRPr="005046EB" w:rsidRDefault="005046EB" w:rsidP="005046EB">
      <w:pPr>
        <w:spacing w:after="120" w:line="240" w:lineRule="auto"/>
        <w:ind w:left="357"/>
        <w:jc w:val="both"/>
        <w:rPr>
          <w:rFonts w:ascii="Arial" w:eastAsia="SimSun" w:hAnsi="Arial" w:cs="Times New Roman"/>
          <w:iCs/>
          <w:color w:val="auto"/>
          <w:sz w:val="20"/>
          <w:szCs w:val="24"/>
          <w:lang w:val="pl-PL" w:eastAsia="zh-CN"/>
        </w:rPr>
      </w:pPr>
      <w:r w:rsidRPr="005046EB">
        <w:rPr>
          <w:rFonts w:ascii="Arial" w:eastAsia="SimSun" w:hAnsi="Arial" w:cs="Times New Roman"/>
          <w:iCs/>
          <w:color w:val="auto"/>
          <w:sz w:val="20"/>
          <w:szCs w:val="24"/>
          <w:lang w:val="pl-PL" w:eastAsia="zh-CN"/>
        </w:rPr>
        <w:t xml:space="preserve">Polityka wynagrodzeń Członków Zarządu i Rady Nadzorczej wdraża postanowienia dotyczące kształtowania zasad wynagradzania zawarte w nowelizacji Ustawy z dnia 29 lipca 2005 r. o ofercie publicznej i warunkach wprowadzania instrumentów finansowych do zorganizowanego systemu obrotu oraz o spółkach publicznych przyjętej w dniu 16 października 2019 roku. Określa ona zasady wynagradzania Członków Zarządu i Rady Nadzorczej Banku, wspierając realizację strategii Banku, efektywne zarządzanie ryzykiem, długoterminowe interesy i stabilność Banku. </w:t>
      </w:r>
    </w:p>
    <w:p w:rsidR="005046EB" w:rsidRPr="005046EB" w:rsidRDefault="005046EB" w:rsidP="005046EB">
      <w:pPr>
        <w:spacing w:after="120" w:line="240" w:lineRule="auto"/>
        <w:ind w:left="357"/>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Polityka wynagrodzeń pracowników Banku wdraża postanowienia dotyczące kształtowania zasad wynagrodzenia w bankach zawarte w przepisach prawa, Zasadach Ładu Korporacyjnego dla Instytucji Nadzorowanych przyjętych przez Komisję Nadzoru Finansowego („Zasady Ładu Korporacyjnego”), Dobrych Praktykach Spółek Notowanych na Giełdzie Papierów Wartościowych 2016, rekomendacjach Komisji Nadzoru Finansowego dotyczących sektora bankowego oraz uwzględnia Wytyczne Europejskiego Urzędu Nadzoru Bankowego dotyczące prawidłowej polityki wynagrodzeń, o których mowa w art. 74 ust. 3 i 75 ust. 2 dyrektywy 2013/36/UE, i ujawniania informacji zgodnie z art. 450 rozporządzenia (UE) nr 575/2013, Wytyczne Europejskiego Urzędu Nadzoru Bankowego dotyczące polityki i praktyk w zakresie wynagrodzeń w odniesieniu do sprzedaży i dystrybucji detalicznych produktów i usług bankowych, Wytyczne Europejskiego Urzędu Nadzoru Giełd i Papierów Wartościowych w sprawie zasad i praktyk dotyczących wynagrodzeń (MiFID). Obejmuje ona funkcjonujące w Banku procesy i zasady dotyczące wynagradzania pozostałych pracowników, w tym w szczególności Osób Kluczowych, osób, których działalność zawodowa ma istotny wpływ na profil ryzyka Banku, pracowników zaangażowanych w sprzedaż produktów i usług Banku oraz pracowników funkcji kontrolnych.</w:t>
      </w:r>
    </w:p>
    <w:p w:rsidR="005046EB" w:rsidRPr="005046EB" w:rsidRDefault="005046EB" w:rsidP="005046EB">
      <w:pPr>
        <w:spacing w:after="120" w:line="240" w:lineRule="auto"/>
        <w:ind w:left="357"/>
        <w:jc w:val="both"/>
        <w:rPr>
          <w:rFonts w:ascii="Arial" w:eastAsia="SimSun" w:hAnsi="Arial" w:cs="Times New Roman"/>
          <w:color w:val="auto"/>
          <w:sz w:val="20"/>
          <w:szCs w:val="24"/>
          <w:lang w:val="pl-PL" w:eastAsia="zh-CN"/>
        </w:rPr>
      </w:pPr>
      <w:r w:rsidRPr="005046EB">
        <w:rPr>
          <w:rFonts w:ascii="Arial" w:eastAsia="SimSun" w:hAnsi="Arial" w:cs="Times New Roman"/>
          <w:iCs/>
          <w:color w:val="auto"/>
          <w:sz w:val="20"/>
          <w:szCs w:val="24"/>
          <w:lang w:val="pl-PL" w:eastAsia="zh-CN"/>
        </w:rPr>
        <w:t xml:space="preserve">Polityka wynagrodzeń Osób Uprawnionych wdraża postanowienia dotyczące kształtowania zasad wynagradzania zawarte w Ustawie z dnia 29 sierpnia 1997 r. Prawo bankowe, Rozporządzeniu Ministra Rozwoju i Finansów z dnia 6 marca 2017 r. w sprawie systemu zarządzania ryzykiem i systemu kontroli wewnętrznej, polityki wynagrodzeń oraz szczegółowego sposobu szacowania kapitału wewnętrznego w bankach oraz uwzględnia Wytyczne Europejskiego Urzędu Nadzoru Bankowego dotyczące prawidłowej polityki wynagrodzeń, o których mowa w art. 74 ust. 3 i 75 ust. 2 dyrektywy 2013/36/UE, i ujawniania informacji zgodnie z art. 450 rozporządzenia (UE) nr 575/2013. Ma ona zastosowanie do </w:t>
      </w:r>
      <w:r w:rsidRPr="005046EB">
        <w:rPr>
          <w:rFonts w:ascii="Arial" w:eastAsia="SimSun" w:hAnsi="Arial" w:cs="Times New Roman"/>
          <w:color w:val="auto"/>
          <w:sz w:val="20"/>
          <w:szCs w:val="24"/>
          <w:lang w:val="pl-PL" w:eastAsia="zh-CN"/>
        </w:rPr>
        <w:t>osób, których działalność zawodowa ma istotny wpływ na profil ryzyka Banku i stanowi uszczegółowienie zasad wynagradzania tej grupy pracowników określonych w Polityce wynagrodzeń pracowników Banku.</w:t>
      </w:r>
    </w:p>
    <w:p w:rsidR="005046EB" w:rsidRPr="005046EB" w:rsidRDefault="005046EB" w:rsidP="005046EB">
      <w:pPr>
        <w:spacing w:after="120" w:line="240" w:lineRule="auto"/>
        <w:ind w:left="357"/>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Ocena Polityki Wynagrodzeń jest następująca:</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color w:val="auto"/>
          <w:sz w:val="20"/>
          <w:szCs w:val="20"/>
          <w:lang w:val="pl-PL" w:eastAsia="zh-CN" w:bidi="ar-AE"/>
        </w:rPr>
        <w:t>Zgodnie z wymogami Wytycznych EBA dotyczących prawidłowej polityki wynagrodzeń, o których mowa powyżej, Polityka Wynagrodzeń obejmuje wszystkich pracowników Banku oraz definiuje wyodrębnioną w Zasadach Ładu Korporacyjnego grupę Osób Kluczowych.</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Polityka Wynagrodzeń w sposób właściwy określa zasady wynagradzania osób nią objętych, w tym Osób Kluczowych, w tym formę, strukturę i sposób ich ustalania.</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 xml:space="preserve">Sposób wdrożenia Polityki Wynagrodzeń w Banku oraz nadzór sprawowany nad Polityką Wynagrodzeń zapewniają, że struktura wynagrodzeń osób  nią objętych, w tym Osób Kluczowych, wspiera długoterminową stabilność Banku i jest zgodna  ze strategią, celami, wartościami </w:t>
      </w:r>
      <w:r w:rsidRPr="005046EB">
        <w:rPr>
          <w:rFonts w:ascii="Arial" w:eastAsia="Times New Roman" w:hAnsi="Arial" w:cs="Arial"/>
          <w:bCs/>
          <w:color w:val="auto"/>
          <w:sz w:val="20"/>
          <w:szCs w:val="20"/>
          <w:lang w:val="pl-PL" w:eastAsia="zh-CN" w:bidi="ar-AE"/>
        </w:rPr>
        <w:t>i długoterminowymi</w:t>
      </w:r>
      <w:r w:rsidRPr="005046EB">
        <w:rPr>
          <w:rFonts w:ascii="Arial" w:eastAsia="Times New Roman" w:hAnsi="Arial" w:cs="Arial"/>
          <w:color w:val="auto"/>
          <w:sz w:val="20"/>
          <w:szCs w:val="20"/>
          <w:lang w:val="pl-PL" w:eastAsia="zh-CN" w:bidi="ar-AE"/>
        </w:rPr>
        <w:t xml:space="preserve"> interesami Banku, w szczególności takimi jak zrównoważony wzrost, a także służy do wyeliminowania potencjalnego negatywnego wpływu systemów wynagrodzeń na zarządzanie ryzykiem.</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color w:val="auto"/>
          <w:sz w:val="20"/>
          <w:szCs w:val="20"/>
          <w:lang w:val="pl-PL" w:eastAsia="zh-CN" w:bidi="ar-AE"/>
        </w:rPr>
        <w:t>Bank prawidłowo wdrożył wszelkie postanowienia dotyczące wynagrodzenia stałego zawarte w Polityce Wynagrodzeń. W szczególności, Bank różnicuje wysokość wynagrodzenia stałego osób objętych Polityką Wynagrodzeń, w tym Osób Kluczowych, przy uwzględnieniu doświadczenia zawodowego, wymagań w zakresie kompetencji oraz roli pełnionej w procesie zarządzania Bankiem.</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lastRenderedPageBreak/>
        <w:t>Bank zapewnia odpowiedni poziom wynagrodzeń pracowników komórki audytu wewnętrznego oraz komórki ds. zgodności umożliwiający zatrudnianie i utrzymanie w tych jednostkach wysoko wykwalifikowanych specjalistów. Analiza poziomu wynagrodzeń pracowników Departamentu Audytu i Departamentu Zgodności w Banku Handlowym w Warszawie S.A. została pozytywnie oceniona przez Komitet ds. Audytu Rady Nadzorczej.</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Bank,</w:t>
      </w:r>
      <w:r w:rsidRPr="005046EB">
        <w:rPr>
          <w:rFonts w:ascii="Arial" w:eastAsia="Times New Roman" w:hAnsi="Arial" w:cs="Arial"/>
          <w:bCs/>
          <w:color w:val="auto"/>
          <w:sz w:val="20"/>
          <w:szCs w:val="20"/>
          <w:lang w:val="pl-PL" w:eastAsia="zh-CN" w:bidi="ar-AE"/>
        </w:rPr>
        <w:t xml:space="preserve"> między innymi poprzez Politykę Wynagrodzeń, promuje rozsądne i efektywne zarządzanie ryzykiem i nie zachęca do podejmowania ryzyka, które przekraczałoby akceptowalny poziom. W związku z tym, stosowany w Banku system wynagrodzeń opartych na wynikach finansowych i niefinansowych, nie nagradza nadmiernego ryzyka w podejmowaniu decyzji. W szczególności, wynagrodzenie członków Zarządu jest określane w sposób promujący rozsądne zarządzanie Bankiem, bazujący na wynikach finansowych i niefinansowych oraz nienagradzający niewłaściwych decyzji </w:t>
      </w:r>
      <w:r w:rsidRPr="005046EB">
        <w:rPr>
          <w:rFonts w:ascii="Arial" w:eastAsia="Times New Roman" w:hAnsi="Arial" w:cs="Arial"/>
          <w:color w:val="auto"/>
          <w:sz w:val="20"/>
          <w:szCs w:val="20"/>
          <w:lang w:val="pl-PL" w:eastAsia="zh-CN" w:bidi="ar-AE"/>
        </w:rPr>
        <w:t xml:space="preserve">podejmowanych przez pracowników. </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Na etapie projektowania i zatwierdzania wysokości puli na wynagrodzenia zmienne pracowników Banku za pracę w 2020 roku, w tym Osób Kluczowych, Bank dokonał odpowiedniej weryfikacji, potwierdzając że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Szczegółowe zasady dotyczące wynagrodzeń zmiennych przyznawanych pracownikom mającym istotny wpływ na profil ryzyka Banku („Osoby Uprawnione”), w tym Osobom Kluczowym, reguluje Polityka wynagrodzeń Osób Uprawnionych. Zasady te zostały w prawidłowy sposób zastosowane przy przyznawaniu Osobom Uprawnionym, w tym Osobom Kluczowym, wynagrodzenia zmiennego w styczniu 2021 roku (wynagrodzenia zmienne za pracę w 2020 roku), tj.:</w:t>
      </w:r>
    </w:p>
    <w:p w:rsidR="005046EB" w:rsidRPr="005046EB" w:rsidRDefault="005046EB" w:rsidP="00223F2E">
      <w:pPr>
        <w:numPr>
          <w:ilvl w:val="0"/>
          <w:numId w:val="24"/>
        </w:numPr>
        <w:tabs>
          <w:tab w:val="left" w:pos="1418"/>
        </w:tabs>
        <w:spacing w:after="240" w:line="240" w:lineRule="auto"/>
        <w:ind w:left="1418"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Funkcjonujący w Banku Komitet ds. Nominacji i Wynagrodzeń Rady Nadzorczej rekomenduje i opiniuje wysokość oraz warunki przyznania wynagrodzenia zmiennego dla osób objętych Polityką wynagrodzeń Osób Uprawnionych. Wydaje on także opinie odnośnie zmian do Polityki wynagrodzeń Osób Uprawnionych, w tym wysokości składników wynagrodzeń, kierując się ostrożnym i stabilnym zarządzaniem ryzykiem, kapitałem i płynnością oraz szczególną dbałością o długoterminowe dobro Banku, interes akcjonariuszy, inwestorów i udziałowców Banku. W 2020 roku odbyło się pięć posiedzeń Komitetu ds. Nominacji i Wynagrodzeń Rady Nadzorczej.</w:t>
      </w:r>
    </w:p>
    <w:p w:rsidR="005046EB" w:rsidRPr="005046EB" w:rsidRDefault="005046EB" w:rsidP="00223F2E">
      <w:pPr>
        <w:numPr>
          <w:ilvl w:val="0"/>
          <w:numId w:val="24"/>
        </w:numPr>
        <w:tabs>
          <w:tab w:val="left" w:pos="1418"/>
        </w:tabs>
        <w:spacing w:after="240" w:line="240" w:lineRule="auto"/>
        <w:ind w:left="1418"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Poziom wynagrodzenia zmiennego za pracę w 2020 roku został ustalony na podstawie oceny kryteriów finansowych i niefinansowych, z uwzględnieniem kosztów ryzyka Banku, kosztów kapitału i ryzyka płynności w perspektywie długoterminowej. Tak ustalone wynagrodzenie zmienne zostało przyznane w dniu 11 stycznia 2021 roku. Zostało ono podzielone na część nieodroczoną i odroczoną. Nieodroczone wynagrodzenie zmienne w formie pieniężnej podlega wypłacie najpóźniej w miesiącu następującym po miesiącu, w którym nastąpiło jej przyznanie. Krótkoterminowa nagroda w akcjach fantomowych podlega zaś 6-cio lub 12-sto miesięcznemu okresowi retencji i wypłacana jest po jego zakończeniu. Odroczone wynagrodzenie zmienne dzielone jest na trzy lub pięć transz, do których pracownicy będą mogli nabyć uprawnienia odpowiednio w latach 2022-2024 lub 2022-2026. Poszczególne transze odroczonej nagrody pieniężnej oraz długoterminowej nagrody w akacjach fantomowych (pod warunkiem nabycia uprawnienia do nich) podlegają wypłacie po zakończeniu 6 lub 12 miesięcznego okresu retencji.</w:t>
      </w:r>
    </w:p>
    <w:p w:rsidR="005046EB" w:rsidRPr="005046EB" w:rsidRDefault="005046EB" w:rsidP="00223F2E">
      <w:pPr>
        <w:numPr>
          <w:ilvl w:val="0"/>
          <w:numId w:val="24"/>
        </w:numPr>
        <w:tabs>
          <w:tab w:val="left" w:pos="1418"/>
        </w:tabs>
        <w:spacing w:after="240" w:line="240" w:lineRule="auto"/>
        <w:ind w:left="1418"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bCs/>
          <w:color w:val="auto"/>
          <w:sz w:val="20"/>
          <w:szCs w:val="20"/>
          <w:lang w:val="pl-PL" w:eastAsia="zh-CN" w:bidi="ar-AE"/>
        </w:rPr>
        <w:t>W 2020 roku nie dokonano zmniejszeń ani nie podjęto decyzji o utracie prawa do odroczonego wynagrodzenia zmiennego przyznanego warunkowo w ramach Polityki wynagrodzeń Osób Uprawnionych w ramach korekty związanej z wynikami ani zgodnie z postanowieniami tej polityki dotyczącymi rozwiązania umów o pracę.</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bCs/>
          <w:color w:val="auto"/>
          <w:sz w:val="20"/>
          <w:szCs w:val="20"/>
          <w:lang w:val="pl-PL" w:eastAsia="zh-CN" w:bidi="ar-AE"/>
        </w:rPr>
      </w:pPr>
      <w:r w:rsidRPr="005046EB">
        <w:rPr>
          <w:rFonts w:ascii="Arial" w:eastAsia="Times New Roman" w:hAnsi="Arial" w:cs="Arial"/>
          <w:color w:val="auto"/>
          <w:sz w:val="20"/>
          <w:szCs w:val="20"/>
          <w:lang w:val="pl-PL" w:eastAsia="zh-CN" w:bidi="ar-AE"/>
        </w:rPr>
        <w:t>W 2020 roku Bank prawidłowo przeanalizował role oraz zakres odpowiedzialności swoich pracowników w kontekście głównych rodzajów ryzyka podlegających zarządzaniu w Banku oraz kryteriów</w:t>
      </w:r>
      <w:r w:rsidRPr="005046EB">
        <w:rPr>
          <w:rFonts w:ascii="Arial" w:eastAsia="Times New Roman" w:hAnsi="Arial" w:cs="Arial"/>
          <w:bCs/>
          <w:color w:val="auto"/>
          <w:sz w:val="20"/>
          <w:szCs w:val="20"/>
          <w:lang w:val="pl-PL" w:eastAsia="zh-CN" w:bidi="ar-AE"/>
        </w:rPr>
        <w:t xml:space="preserve"> ilościowych i jakościowych, opisanych w Rozporządzeniu Delegowanym Komisji (UE) Nr 604/2014 z dnia 4 marca 2014 roku uzupełniającym dyrektywę Parlamentu Europejskiego i Rady 2013/36/UE, w odniesieniu do regulacyjnych standardów technicznych, w odniesieniu do kryteriów jakościowych i właściwych kryteriów ilościowych ustalania kategorii pracowników, których działalność zawodowa ma istotny wpływ na profil ryzyka instytucji i na tej podstawie ustalił wykaz osób, których działalność zawodowa ma istotny wpływ na profil ryzyka Banku i wobec tego powinny </w:t>
      </w:r>
      <w:r w:rsidRPr="005046EB">
        <w:rPr>
          <w:rFonts w:ascii="Arial" w:eastAsia="Times New Roman" w:hAnsi="Arial" w:cs="Arial"/>
          <w:bCs/>
          <w:color w:val="auto"/>
          <w:sz w:val="20"/>
          <w:szCs w:val="20"/>
          <w:lang w:val="pl-PL" w:eastAsia="zh-CN" w:bidi="ar-AE"/>
        </w:rPr>
        <w:lastRenderedPageBreak/>
        <w:t xml:space="preserve">podlegać postanowieniom Polityki wynagrodzeń Osób Uprawnionych. W 2020 roku wykaz pracowników objętych Polityką wynagrodzeń Osób Uprawnionych obejmował 85 osób. </w:t>
      </w:r>
    </w:p>
    <w:p w:rsidR="005046EB" w:rsidRPr="005046EB" w:rsidRDefault="005046EB" w:rsidP="00223F2E">
      <w:pPr>
        <w:numPr>
          <w:ilvl w:val="0"/>
          <w:numId w:val="23"/>
        </w:numPr>
        <w:tabs>
          <w:tab w:val="left" w:pos="851"/>
        </w:tabs>
        <w:spacing w:after="240" w:line="240" w:lineRule="auto"/>
        <w:ind w:left="851" w:hanging="425"/>
        <w:jc w:val="both"/>
        <w:outlineLvl w:val="1"/>
        <w:rPr>
          <w:rFonts w:ascii="Arial" w:eastAsia="Times New Roman" w:hAnsi="Arial" w:cs="Arial"/>
          <w:color w:val="auto"/>
          <w:sz w:val="20"/>
          <w:szCs w:val="20"/>
          <w:lang w:val="pl-PL" w:eastAsia="zh-CN" w:bidi="ar-AE"/>
        </w:rPr>
      </w:pPr>
      <w:r w:rsidRPr="005046EB">
        <w:rPr>
          <w:rFonts w:ascii="Arial" w:eastAsia="Times New Roman" w:hAnsi="Arial" w:cs="Arial"/>
          <w:color w:val="auto"/>
          <w:sz w:val="20"/>
          <w:szCs w:val="20"/>
          <w:lang w:val="pl-PL" w:eastAsia="zh-CN" w:bidi="ar-AE"/>
        </w:rPr>
        <w:t>Wprowadzona w Banku Polityka Wynagrodzeń zapewnia właściwy sposób wynagradzania pracowników zaangażowanych w sprzedaż produktów i usług Banku, który zachęca ich do postępowania w sposób uczciwy, bezstronny, przejrzysty i profesjonalny, z uwzględnieniem praw i interesów wszystkich klientów Banku, w krótkim, średnim i długim okresie.</w:t>
      </w:r>
    </w:p>
    <w:p w:rsidR="005046EB" w:rsidRPr="005046EB" w:rsidRDefault="005046EB" w:rsidP="005046EB">
      <w:pPr>
        <w:spacing w:after="120" w:line="240" w:lineRule="auto"/>
        <w:ind w:left="357"/>
        <w:jc w:val="both"/>
        <w:rPr>
          <w:rFonts w:ascii="Arial" w:eastAsia="SimSun" w:hAnsi="Arial" w:cs="Arial"/>
          <w:color w:val="auto"/>
          <w:sz w:val="20"/>
          <w:szCs w:val="20"/>
          <w:lang w:val="pl-PL" w:eastAsia="zh-CN"/>
        </w:rPr>
      </w:pPr>
      <w:r w:rsidRPr="005046EB">
        <w:rPr>
          <w:rFonts w:ascii="Arial" w:eastAsia="SimSun" w:hAnsi="Arial" w:cs="Times New Roman"/>
          <w:color w:val="auto"/>
          <w:sz w:val="20"/>
          <w:szCs w:val="24"/>
          <w:lang w:val="pl-PL" w:eastAsia="zh-CN"/>
        </w:rPr>
        <w:t>Rada</w:t>
      </w:r>
      <w:r w:rsidRPr="005046EB">
        <w:rPr>
          <w:rFonts w:ascii="Arial" w:eastAsia="SimSun" w:hAnsi="Arial" w:cs="Arial"/>
          <w:bCs/>
          <w:color w:val="auto"/>
          <w:sz w:val="20"/>
          <w:szCs w:val="20"/>
          <w:lang w:val="pl-PL" w:eastAsia="zh-CN"/>
        </w:rPr>
        <w:t xml:space="preserve"> Nadzorcza pozytywnie ocenia funkcjonowanie Polityki Wynagrodzeń stosowanej w Banku.</w:t>
      </w:r>
    </w:p>
    <w:p w:rsidR="005046EB" w:rsidRPr="005046EB" w:rsidRDefault="005046EB" w:rsidP="005046EB">
      <w:pPr>
        <w:tabs>
          <w:tab w:val="left" w:pos="851"/>
        </w:tabs>
        <w:spacing w:after="240" w:line="240" w:lineRule="auto"/>
        <w:ind w:left="851"/>
        <w:jc w:val="both"/>
        <w:outlineLvl w:val="1"/>
        <w:rPr>
          <w:rFonts w:eastAsia="Times New Roman" w:cs="Arial"/>
          <w:color w:val="auto"/>
          <w:sz w:val="24"/>
          <w:szCs w:val="20"/>
          <w:lang w:val="pl-PL" w:eastAsia="zh-CN" w:bidi="ar-AE"/>
        </w:rPr>
      </w:pPr>
      <w:r w:rsidRPr="005046EB">
        <w:rPr>
          <w:rFonts w:ascii="Arial" w:eastAsia="Times New Roman" w:hAnsi="Arial" w:cs="Arial"/>
          <w:bCs/>
          <w:color w:val="auto"/>
          <w:sz w:val="20"/>
          <w:szCs w:val="20"/>
          <w:lang w:val="pl-PL" w:eastAsia="zh-CN" w:bidi="ar-AE"/>
        </w:rPr>
        <w:t xml:space="preserve"> </w:t>
      </w: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OCENA RADY NADZORCZEJ WYPEŁNIANIA OBOWIĄZKÓW INFORMACYJNYCH DOTYCZĄCYCH STOSOWANIA ZASAD ŁADU KORPORACYJNEGO, OKREŚLONYCH W REGULAMINIE GIEŁDY PAPIERÓW WARTOŚCIOWYCH W WARSZAWIE S.A. ORAZ W PRZEPISACH DOTYCZĄCYCH INFORMACJI BIEŻĄCYCH I OKRESOWYCH PRZEKAZYWANYCH PRZEZ EMITENTÓW PAPIERÓW WARTOŚCIOWYCH</w:t>
      </w:r>
    </w:p>
    <w:p w:rsidR="005046EB" w:rsidRPr="005046EB" w:rsidRDefault="005046EB" w:rsidP="005046EB">
      <w:pPr>
        <w:spacing w:after="0" w:line="240" w:lineRule="auto"/>
        <w:ind w:left="709" w:firstLine="11"/>
        <w:jc w:val="both"/>
        <w:rPr>
          <w:rFonts w:ascii="Arial" w:eastAsia="SimSun" w:hAnsi="Arial" w:cs="Arial"/>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bCs/>
          <w:color w:val="auto"/>
          <w:sz w:val="20"/>
          <w:szCs w:val="20"/>
          <w:lang w:val="pl-PL" w:eastAsia="zh-CN" w:bidi="ar-AE"/>
        </w:rPr>
      </w:pPr>
      <w:r w:rsidRPr="005046EB">
        <w:rPr>
          <w:rFonts w:ascii="Arial" w:eastAsia="SimSun" w:hAnsi="Arial" w:cs="Arial"/>
          <w:bCs/>
          <w:color w:val="auto"/>
          <w:sz w:val="20"/>
          <w:szCs w:val="20"/>
          <w:lang w:val="pl-PL" w:eastAsia="zh-CN" w:bidi="ar-AE"/>
        </w:rPr>
        <w:t xml:space="preserve">Ocena </w:t>
      </w:r>
      <w:r w:rsidRPr="005046EB">
        <w:rPr>
          <w:rFonts w:ascii="Arial" w:eastAsia="SimSun" w:hAnsi="Arial" w:cs="Times New Roman"/>
          <w:bCs/>
          <w:color w:val="auto"/>
          <w:sz w:val="20"/>
          <w:szCs w:val="24"/>
          <w:lang w:val="pl-PL" w:eastAsia="zh-CN"/>
        </w:rPr>
        <w:t>wypełniania, przez Bank, obowiązków informacyjnych dotyczących stosowania Zasad Ładu Korporacyjnego, określonych w regulaminie Giełdy Papierów Wartościowych w Warszawie S.A.</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bidi="ar-AE"/>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bidi="ar-AE"/>
        </w:rPr>
      </w:pPr>
      <w:r w:rsidRPr="005046EB">
        <w:rPr>
          <w:rFonts w:ascii="Arial" w:eastAsia="SimSun" w:hAnsi="Arial" w:cs="Arial"/>
          <w:bCs/>
          <w:color w:val="auto"/>
          <w:sz w:val="20"/>
          <w:szCs w:val="20"/>
          <w:lang w:val="pl-PL" w:eastAsia="zh-CN" w:bidi="ar-AE"/>
        </w:rPr>
        <w:t>Wymagane oświadczenie o przestrzeganiu zasad ładu korporacyjnego określonych w „Dobrych Praktykach Spółek Notowanych na GPW 2016” raportowane jest poprzez opublikowanie „</w:t>
      </w:r>
      <w:bookmarkStart w:id="3" w:name="_Toc444675108"/>
      <w:bookmarkStart w:id="4" w:name="_Toc351466829"/>
      <w:r w:rsidRPr="005046EB">
        <w:rPr>
          <w:rFonts w:ascii="Arial" w:eastAsia="SimSun" w:hAnsi="Arial" w:cs="Arial"/>
          <w:bCs/>
          <w:color w:val="auto"/>
          <w:sz w:val="20"/>
          <w:szCs w:val="20"/>
          <w:lang w:val="pl-PL" w:eastAsia="zh-CN" w:bidi="ar-AE"/>
        </w:rPr>
        <w:t>Oświadczenia Banku Handlowego w Warszawie S.A. o stosowaniu w Banku zasad ładu korporacyjnego</w:t>
      </w:r>
      <w:bookmarkEnd w:id="3"/>
      <w:bookmarkEnd w:id="4"/>
      <w:r w:rsidRPr="005046EB">
        <w:rPr>
          <w:rFonts w:ascii="Arial" w:eastAsia="SimSun" w:hAnsi="Arial" w:cs="Arial"/>
          <w:bCs/>
          <w:color w:val="auto"/>
          <w:sz w:val="20"/>
          <w:szCs w:val="20"/>
          <w:lang w:val="pl-PL" w:eastAsia="zh-CN" w:bidi="ar-AE"/>
        </w:rPr>
        <w:t>” w ramach „Sprawozdania z działalności Banku Handlowego w Warszawie S.A. w 2020 r.” Jest to równoznaczne z realizacją obowiązku wynikającego z Regulaminu Giełdy Papierów Wartościowych w Warszawie S.A. przekazania raportu rocznego dotyczącego stosowania zasad ładu korporacyjnego w spółce. Oświadczenie Banku zawiera między innymi informacje, które zasady i rekomendacje „Dobrych Praktyk Spółek Notowanych na GPW 2016” nie były przez Bank stosowane w 2020 r. wraz z uzasadnieniem.</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bidi="ar-AE"/>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bidi="ar-AE"/>
        </w:rPr>
      </w:pPr>
      <w:r w:rsidRPr="005046EB">
        <w:rPr>
          <w:rFonts w:ascii="Arial" w:eastAsia="SimSun" w:hAnsi="Arial" w:cs="Arial"/>
          <w:bCs/>
          <w:color w:val="auto"/>
          <w:sz w:val="20"/>
          <w:szCs w:val="20"/>
          <w:lang w:val="pl-PL" w:eastAsia="zh-CN" w:bidi="ar-AE"/>
        </w:rPr>
        <w:t>W związku z przyjęciem przez Bank do stosowania zasad ładu korporacyjnego określonych w „Dobrych Praktyk Spółek Notowanych na GPW 2016”, w dniu 11 marca 2016 r. Bank przekazał Giełdzie Papierów Wartościowych w Warszawie S.A. raport (Raport EBI nr 1/2016) dotyczący niestosowania określonych zasad szczegółowych zawartych w zbiorze "Dobre Praktyki Spółek Notowanych na GPW 2016" wraz z uzasadnieniem, czyniąc zadość obowiązkowi wynikającemu z treści § 29 ust. 3 Regulaminu Giełdy Papierów Wartościowych w Warszawie S.A.</w:t>
      </w:r>
    </w:p>
    <w:p w:rsidR="005046EB" w:rsidRPr="005046EB" w:rsidRDefault="005046EB" w:rsidP="005046EB">
      <w:pPr>
        <w:spacing w:after="0" w:line="240" w:lineRule="auto"/>
        <w:ind w:left="851" w:firstLine="11"/>
        <w:jc w:val="both"/>
        <w:rPr>
          <w:rFonts w:ascii="Arial" w:eastAsia="SimSun" w:hAnsi="Arial" w:cs="Arial"/>
          <w:bCs/>
          <w:color w:val="auto"/>
          <w:sz w:val="20"/>
          <w:szCs w:val="20"/>
          <w:lang w:val="pl-PL" w:eastAsia="zh-CN" w:bidi="ar-AE"/>
        </w:rPr>
      </w:pPr>
    </w:p>
    <w:p w:rsidR="005046EB" w:rsidRPr="005046EB" w:rsidRDefault="005046EB" w:rsidP="005046EB">
      <w:pPr>
        <w:spacing w:after="0" w:line="240" w:lineRule="auto"/>
        <w:ind w:left="851" w:firstLine="11"/>
        <w:jc w:val="both"/>
        <w:rPr>
          <w:rFonts w:ascii="Arial" w:eastAsia="SimSun" w:hAnsi="Arial" w:cs="Arial"/>
          <w:bCs/>
          <w:color w:val="auto"/>
          <w:sz w:val="20"/>
          <w:szCs w:val="20"/>
          <w:lang w:val="pl-PL" w:eastAsia="zh-CN" w:bidi="ar-AE"/>
        </w:rPr>
      </w:pPr>
      <w:r w:rsidRPr="005046EB">
        <w:rPr>
          <w:rFonts w:ascii="Arial" w:eastAsia="SimSun" w:hAnsi="Arial" w:cs="Arial"/>
          <w:bCs/>
          <w:color w:val="auto"/>
          <w:sz w:val="20"/>
          <w:szCs w:val="20"/>
          <w:lang w:val="pl-PL" w:eastAsia="zh-CN" w:bidi="ar-AE"/>
        </w:rPr>
        <w:t>Mając powyższe na uwadze Rada Nadzorcza ocenia, że Bank w okresie objętym oceną w sposób prawidłowy wypełniał obowiązki informacyjne dotyczące stosowania zasad ładu korporacyjnego określonych w Regulaminie Giełdy Papierów Wartościowych w Warszawie S.A.</w:t>
      </w:r>
    </w:p>
    <w:p w:rsidR="005046EB" w:rsidRPr="005046EB" w:rsidRDefault="005046EB" w:rsidP="005046EB">
      <w:pPr>
        <w:spacing w:after="0" w:line="240" w:lineRule="auto"/>
        <w:ind w:left="851" w:firstLine="11"/>
        <w:jc w:val="both"/>
        <w:rPr>
          <w:rFonts w:ascii="Arial" w:eastAsia="SimSun" w:hAnsi="Arial" w:cs="Arial"/>
          <w:bCs/>
          <w:color w:val="auto"/>
          <w:sz w:val="20"/>
          <w:szCs w:val="20"/>
          <w:lang w:val="pl-PL" w:eastAsia="zh-CN" w:bidi="ar-AE"/>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sz w:val="20"/>
          <w:szCs w:val="20"/>
          <w:lang w:val="pl-PL" w:eastAsia="zh-CN"/>
        </w:rPr>
      </w:pPr>
      <w:r w:rsidRPr="005046EB">
        <w:rPr>
          <w:rFonts w:ascii="Arial" w:eastAsia="SimSun" w:hAnsi="Arial" w:cs="Arial"/>
          <w:bCs/>
          <w:color w:val="auto"/>
          <w:sz w:val="20"/>
          <w:szCs w:val="20"/>
          <w:lang w:val="pl-PL" w:eastAsia="zh-CN" w:bidi="ar-AE"/>
        </w:rPr>
        <w:t xml:space="preserve">Ocena dotycząca </w:t>
      </w:r>
      <w:r w:rsidRPr="005046EB">
        <w:rPr>
          <w:rFonts w:ascii="Arial" w:eastAsia="SimSun" w:hAnsi="Arial" w:cs="Arial"/>
          <w:bCs/>
          <w:color w:val="auto"/>
          <w:sz w:val="20"/>
          <w:szCs w:val="20"/>
          <w:lang w:val="pl-PL" w:eastAsia="zh-CN"/>
        </w:rPr>
        <w:t xml:space="preserve">wypełniania, przez Bank, obowiązków informacyjnych </w:t>
      </w:r>
      <w:r w:rsidRPr="005046EB">
        <w:rPr>
          <w:rFonts w:ascii="Arial" w:eastAsia="SimSun" w:hAnsi="Arial" w:cs="Arial"/>
          <w:bCs/>
          <w:sz w:val="20"/>
          <w:szCs w:val="20"/>
          <w:lang w:val="pl-PL" w:eastAsia="zh-CN"/>
        </w:rPr>
        <w:t>dotyczących informacji bieżących i okresowych przekazywanych przez emitentów papierów wartościowych</w:t>
      </w:r>
    </w:p>
    <w:p w:rsidR="005046EB" w:rsidRPr="005046EB" w:rsidRDefault="005046EB" w:rsidP="005046EB">
      <w:pPr>
        <w:tabs>
          <w:tab w:val="left" w:pos="851"/>
        </w:tabs>
        <w:spacing w:after="0" w:line="240" w:lineRule="auto"/>
        <w:ind w:left="851"/>
        <w:jc w:val="both"/>
        <w:rPr>
          <w:rFonts w:ascii="Arial" w:eastAsia="SimSun" w:hAnsi="Arial" w:cs="Arial"/>
          <w:sz w:val="20"/>
          <w:szCs w:val="20"/>
          <w:lang w:val="pl-PL" w:eastAsia="zh-CN"/>
        </w:rPr>
      </w:pPr>
    </w:p>
    <w:p w:rsidR="005046EB" w:rsidRPr="005046EB" w:rsidRDefault="005046EB" w:rsidP="005046EB">
      <w:pPr>
        <w:spacing w:after="0" w:line="240" w:lineRule="auto"/>
        <w:ind w:left="851" w:firstLine="1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Rada Nadzorcza stwierdza, iż obowiązki informacyjne wynikające z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(Dz. U. z 2018 r., poz. 757) były, w okresie sprawozdawczym, wykonywane przez Bank prawidłowo. </w:t>
      </w:r>
    </w:p>
    <w:p w:rsidR="005046EB" w:rsidRPr="005046EB" w:rsidRDefault="005046EB" w:rsidP="005046EB">
      <w:pPr>
        <w:widowControl w:val="0"/>
        <w:spacing w:after="0" w:line="240" w:lineRule="auto"/>
        <w:ind w:left="720"/>
        <w:jc w:val="both"/>
        <w:rPr>
          <w:rFonts w:ascii="Arial" w:eastAsia="SimSun" w:hAnsi="Arial" w:cs="Arial"/>
          <w:snapToGrid w:val="0"/>
          <w:color w:val="auto"/>
          <w:sz w:val="20"/>
          <w:szCs w:val="20"/>
          <w:lang w:val="pl-PL" w:eastAsia="zh-CN"/>
        </w:rPr>
      </w:pPr>
    </w:p>
    <w:p w:rsidR="005046EB" w:rsidRPr="005046EB" w:rsidRDefault="005046EB" w:rsidP="005046EB">
      <w:pPr>
        <w:spacing w:after="0" w:line="240" w:lineRule="auto"/>
        <w:jc w:val="both"/>
        <w:rPr>
          <w:rFonts w:ascii="Arial" w:eastAsia="SimSun" w:hAnsi="Arial" w:cs="Arial"/>
          <w:color w:val="auto"/>
          <w:sz w:val="20"/>
          <w:szCs w:val="20"/>
          <w:lang w:val="pl-PL" w:eastAsia="zh-CN"/>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 xml:space="preserve">OCENA SYSTEMU KONTROLI WEWNĘTRZNEJ I SYSTEMU ZARZĄDZANIA RYZYKIEM ISTOTNYM DLA BANKU </w:t>
      </w:r>
    </w:p>
    <w:p w:rsidR="005046EB" w:rsidRPr="005046EB" w:rsidRDefault="005046EB" w:rsidP="005046EB">
      <w:pPr>
        <w:spacing w:after="0" w:line="240" w:lineRule="auto"/>
        <w:jc w:val="both"/>
        <w:rPr>
          <w:rFonts w:ascii="Arial" w:eastAsia="SimSun" w:hAnsi="Arial" w:cs="Arial"/>
          <w:b/>
          <w:bCs/>
          <w:color w:val="auto"/>
          <w:sz w:val="20"/>
          <w:szCs w:val="20"/>
          <w:lang w:val="pl-PL" w:eastAsia="zh-CN"/>
        </w:rPr>
      </w:pPr>
    </w:p>
    <w:p w:rsidR="005046EB" w:rsidRPr="005046EB" w:rsidRDefault="005046EB" w:rsidP="005046EB">
      <w:pPr>
        <w:spacing w:after="0" w:line="240" w:lineRule="auto"/>
        <w:ind w:left="357" w:firstLine="11"/>
        <w:jc w:val="both"/>
        <w:rPr>
          <w:rFonts w:eastAsia="SimSun" w:cs="Times New Roman"/>
          <w:strike/>
          <w:sz w:val="20"/>
          <w:lang w:val="pl-PL"/>
        </w:rPr>
      </w:pPr>
      <w:r w:rsidRPr="005046EB">
        <w:rPr>
          <w:rFonts w:ascii="Arial" w:eastAsia="SimSun" w:hAnsi="Arial" w:cs="Times New Roman"/>
          <w:sz w:val="20"/>
          <w:szCs w:val="24"/>
          <w:lang w:val="pl-PL" w:eastAsia="zh-CN"/>
        </w:rPr>
        <w:t xml:space="preserve">Celem systemu kontroli wewnętrznej jest wspomaganie procesów decyzyjnych przyczyniających się do zapewnienia skuteczności i efektywności działania Banku, wiarygodności sprawozdawczości finansowej i zgodności działania Banku z przepisami prawa i regulacjami wewnętrznymi oraz przestrzegania zasad zarządzania ryzykiem w Banku. System kontroli wewnętrznej obejmuje funkcję kontroli, działalność komórki ds. zgodności oraz audytu wewnętrznego. </w:t>
      </w:r>
    </w:p>
    <w:p w:rsidR="005046EB" w:rsidRPr="005046EB" w:rsidRDefault="005046EB" w:rsidP="005046EB">
      <w:pPr>
        <w:spacing w:after="0" w:line="240" w:lineRule="auto"/>
        <w:ind w:left="357"/>
        <w:jc w:val="both"/>
        <w:rPr>
          <w:rFonts w:ascii="Arial" w:eastAsia="SimSun" w:hAnsi="Arial" w:cs="Times New Roman"/>
          <w:sz w:val="20"/>
          <w:szCs w:val="24"/>
          <w:lang w:val="pl-PL" w:eastAsia="zh-CN"/>
        </w:rPr>
      </w:pPr>
    </w:p>
    <w:p w:rsidR="005046EB" w:rsidRPr="005046EB" w:rsidRDefault="005046EB" w:rsidP="005046EB">
      <w:pPr>
        <w:spacing w:after="0" w:line="240" w:lineRule="auto"/>
        <w:ind w:left="357"/>
        <w:jc w:val="both"/>
        <w:rPr>
          <w:rFonts w:ascii="Arial" w:eastAsia="SimSun" w:hAnsi="Arial" w:cs="Times New Roman"/>
          <w:sz w:val="20"/>
          <w:szCs w:val="24"/>
          <w:lang w:val="pl-PL" w:eastAsia="zh-CN"/>
        </w:rPr>
      </w:pPr>
      <w:r w:rsidRPr="005046EB">
        <w:rPr>
          <w:rFonts w:ascii="Arial" w:eastAsia="SimSun" w:hAnsi="Arial" w:cs="Times New Roman"/>
          <w:sz w:val="20"/>
          <w:szCs w:val="24"/>
          <w:lang w:val="pl-PL" w:eastAsia="zh-CN"/>
        </w:rPr>
        <w:t>Funkcjonujący w Banku system kontroli wewnętrznej i system zarządzania ryzykiem zorganizowane są na trzech niezależnych poziomach:</w:t>
      </w:r>
    </w:p>
    <w:p w:rsidR="005046EB" w:rsidRPr="005046EB" w:rsidRDefault="005046EB" w:rsidP="00223F2E">
      <w:pPr>
        <w:numPr>
          <w:ilvl w:val="0"/>
          <w:numId w:val="25"/>
        </w:numPr>
        <w:tabs>
          <w:tab w:val="num" w:pos="709"/>
        </w:tabs>
        <w:spacing w:after="0" w:line="260" w:lineRule="atLeast"/>
        <w:ind w:left="709" w:hanging="352"/>
        <w:jc w:val="both"/>
        <w:rPr>
          <w:rFonts w:ascii="Arial" w:eastAsia="SimSun" w:hAnsi="Arial" w:cs="Arial"/>
          <w:color w:val="auto"/>
          <w:sz w:val="20"/>
          <w:szCs w:val="20"/>
          <w:lang w:val="pl-PL" w:eastAsia="pl-PL"/>
        </w:rPr>
      </w:pPr>
      <w:r w:rsidRPr="005046EB">
        <w:rPr>
          <w:rFonts w:ascii="Arial" w:eastAsia="SimSun" w:hAnsi="Arial" w:cs="Arial"/>
          <w:color w:val="auto"/>
          <w:sz w:val="20"/>
          <w:szCs w:val="20"/>
          <w:lang w:val="pl-PL" w:eastAsia="pl-PL"/>
        </w:rPr>
        <w:lastRenderedPageBreak/>
        <w:t>Poziom 1 - jednostki organizacyjne odpowiedzialne za prowadzenie działalności, z której wynika podejmowanie ryzyka oraz za zarządzanie ryzykiem w działalności operacyjnej Banku, jak również za identyfikowanie i raportowanie ryzyka do jednostek 2-giej linii,</w:t>
      </w:r>
    </w:p>
    <w:p w:rsidR="005046EB" w:rsidRPr="005046EB" w:rsidRDefault="005046EB" w:rsidP="00223F2E">
      <w:pPr>
        <w:numPr>
          <w:ilvl w:val="0"/>
          <w:numId w:val="25"/>
        </w:numPr>
        <w:tabs>
          <w:tab w:val="num" w:pos="709"/>
        </w:tabs>
        <w:spacing w:after="0" w:line="260" w:lineRule="atLeast"/>
        <w:ind w:left="709" w:hanging="352"/>
        <w:jc w:val="both"/>
        <w:rPr>
          <w:rFonts w:ascii="Arial" w:eastAsia="SimSun" w:hAnsi="Arial" w:cs="Arial"/>
          <w:color w:val="auto"/>
          <w:sz w:val="20"/>
          <w:szCs w:val="20"/>
          <w:lang w:val="pl-PL" w:eastAsia="pl-PL"/>
        </w:rPr>
      </w:pPr>
      <w:r w:rsidRPr="005046EB">
        <w:rPr>
          <w:rFonts w:ascii="Arial" w:eastAsia="SimSun" w:hAnsi="Arial" w:cs="Arial"/>
          <w:color w:val="auto"/>
          <w:sz w:val="20"/>
          <w:szCs w:val="20"/>
          <w:lang w:val="pl-PL" w:eastAsia="pl-PL"/>
        </w:rPr>
        <w:t xml:space="preserve">Poziom 2 - zarządzanie ryzykiem w jednostkach organizacyjnych, niezależnie od zarządzania ryzykiem na pierwszej linii, oraz działalność komórki do spraw zgodności; jednostki lub osoby odpowiedzialne za ustanawianie standardów zarządzania ryzykiem w zakresie identyfikowania, pomiaru lub oceny, ograniczania, kontroli, monitorowania, raportowania i nadzoru nad mechanizmami kontrolnymi stosowanymi przez inne jednostki organizacyjne Banku w celu ograniczenia ryzyka – jednostki organizacyjne Sektora Zarządzania Ryzykiem, Departament Zgodności, Sektor Zarządzania Finansami, Pion Prawny, Pion Zarządzania Kadrami, </w:t>
      </w:r>
    </w:p>
    <w:p w:rsidR="005046EB" w:rsidRPr="005046EB" w:rsidRDefault="005046EB" w:rsidP="00223F2E">
      <w:pPr>
        <w:numPr>
          <w:ilvl w:val="0"/>
          <w:numId w:val="25"/>
        </w:numPr>
        <w:tabs>
          <w:tab w:val="num" w:pos="709"/>
        </w:tabs>
        <w:spacing w:after="0" w:line="260" w:lineRule="atLeast"/>
        <w:ind w:left="709" w:hanging="352"/>
        <w:jc w:val="both"/>
        <w:rPr>
          <w:rFonts w:ascii="Arial" w:eastAsia="SimSun" w:hAnsi="Arial" w:cs="Arial"/>
          <w:color w:val="auto"/>
          <w:sz w:val="20"/>
          <w:szCs w:val="20"/>
          <w:lang w:val="pl-PL" w:eastAsia="pl-PL"/>
        </w:rPr>
      </w:pPr>
      <w:r w:rsidRPr="005046EB">
        <w:rPr>
          <w:rFonts w:ascii="Arial" w:eastAsia="SimSun" w:hAnsi="Arial" w:cs="Arial"/>
          <w:color w:val="auto"/>
          <w:sz w:val="20"/>
          <w:szCs w:val="20"/>
          <w:lang w:val="pl-PL" w:eastAsia="pl-PL"/>
        </w:rPr>
        <w:t>Poziom 3 - jednostka audytu wewnętrznego, odpowiedzialna za niezależną ocenę systemu zarządzania ryzykiem oraz systemu kontroli wewnętrznej - Departament Audytu.</w:t>
      </w:r>
    </w:p>
    <w:p w:rsidR="005046EB" w:rsidRPr="005046EB" w:rsidRDefault="005046EB" w:rsidP="005046EB">
      <w:pPr>
        <w:spacing w:after="0" w:line="240" w:lineRule="auto"/>
        <w:jc w:val="both"/>
        <w:rPr>
          <w:rFonts w:ascii="Arial" w:eastAsia="SimSun" w:hAnsi="Arial" w:cs="Arial"/>
          <w:sz w:val="20"/>
          <w:szCs w:val="20"/>
          <w:lang w:val="pl-PL" w:eastAsia="zh-CN"/>
        </w:rPr>
      </w:pPr>
    </w:p>
    <w:p w:rsidR="005046EB" w:rsidRPr="005046EB" w:rsidRDefault="005046EB" w:rsidP="005046EB">
      <w:pPr>
        <w:spacing w:after="0" w:line="240" w:lineRule="auto"/>
        <w:ind w:left="357" w:firstLine="11"/>
        <w:jc w:val="both"/>
        <w:rPr>
          <w:rFonts w:eastAsia="SimSun"/>
          <w:lang w:val="pl-PL"/>
        </w:rPr>
      </w:pPr>
      <w:r w:rsidRPr="005046EB">
        <w:rPr>
          <w:rFonts w:ascii="Arial" w:eastAsia="SimSun" w:hAnsi="Arial" w:cs="Times New Roman"/>
          <w:sz w:val="20"/>
          <w:szCs w:val="24"/>
          <w:lang w:val="pl-PL" w:eastAsia="zh-CN"/>
        </w:rPr>
        <w:t xml:space="preserve">Nadzór nad Departamentem Audytu sprawuje Rada Nadzorcza poprzez powołany spośród swoich członków Komitet ds. Audytu. Pod względem organizacyjnym Departament Audytu podlega Prezesowi Zarządu Banku. </w:t>
      </w:r>
    </w:p>
    <w:p w:rsidR="005046EB" w:rsidRPr="005046EB" w:rsidRDefault="005046EB" w:rsidP="005046EB">
      <w:pPr>
        <w:spacing w:after="0" w:line="240" w:lineRule="auto"/>
        <w:ind w:left="357" w:firstLine="11"/>
        <w:jc w:val="both"/>
        <w:rPr>
          <w:rFonts w:ascii="Arial" w:eastAsia="SimSun" w:hAnsi="Arial" w:cs="Times New Roman"/>
          <w:sz w:val="20"/>
          <w:szCs w:val="24"/>
          <w:lang w:val="pl-PL" w:eastAsia="zh-CN"/>
        </w:rPr>
      </w:pPr>
    </w:p>
    <w:p w:rsidR="005046EB" w:rsidRPr="005046EB" w:rsidRDefault="005046EB" w:rsidP="005046EB">
      <w:pPr>
        <w:spacing w:after="0" w:line="240" w:lineRule="auto"/>
        <w:ind w:left="357" w:firstLine="11"/>
        <w:jc w:val="both"/>
        <w:rPr>
          <w:rFonts w:ascii="Arial" w:eastAsia="SimSun" w:hAnsi="Arial" w:cs="Times New Roman"/>
          <w:sz w:val="20"/>
          <w:szCs w:val="24"/>
          <w:lang w:val="pl-PL" w:eastAsia="zh-CN"/>
        </w:rPr>
      </w:pPr>
      <w:r w:rsidRPr="005046EB">
        <w:rPr>
          <w:rFonts w:ascii="Arial" w:eastAsia="SimSun" w:hAnsi="Arial" w:cs="Times New Roman"/>
          <w:sz w:val="20"/>
          <w:szCs w:val="24"/>
          <w:lang w:val="pl-PL" w:eastAsia="zh-CN"/>
        </w:rPr>
        <w:t xml:space="preserve">Departament Audytu przekazuje okresowo, co najmniej raz w roku, Radzie Nadzorczej oraz Zarządowi informacje na temat stwierdzonych nieprawidłowości i wniosków wynikających z przeprowadzonych audytów wewnętrznych oraz działań podejmowanych w celu usunięcia nieprawidłowości lub realizacji tych wniosków. Osoba kierująca Departamentem Audytu jest zapraszana do uczestniczenia we wszystkich posiedzeniach Zarządu i Rady Nadzorczej. </w:t>
      </w:r>
    </w:p>
    <w:p w:rsidR="005046EB" w:rsidRPr="005046EB" w:rsidRDefault="005046EB" w:rsidP="005046EB">
      <w:pPr>
        <w:spacing w:after="0" w:line="240" w:lineRule="auto"/>
        <w:jc w:val="both"/>
        <w:rPr>
          <w:rFonts w:ascii="Arial" w:eastAsia="SimSun" w:hAnsi="Arial" w:cs="Times New Roman"/>
          <w:sz w:val="20"/>
          <w:szCs w:val="24"/>
          <w:lang w:val="pl-PL" w:eastAsia="zh-CN"/>
        </w:rPr>
      </w:pPr>
    </w:p>
    <w:p w:rsidR="005046EB" w:rsidRPr="005046EB" w:rsidRDefault="005046EB" w:rsidP="005046EB">
      <w:pPr>
        <w:spacing w:after="0" w:line="240" w:lineRule="auto"/>
        <w:ind w:left="357" w:firstLine="11"/>
        <w:jc w:val="both"/>
        <w:rPr>
          <w:rFonts w:ascii="Arial" w:eastAsia="SimSun" w:hAnsi="Arial" w:cs="Times New Roman"/>
          <w:sz w:val="20"/>
          <w:szCs w:val="24"/>
          <w:lang w:val="pl-PL" w:eastAsia="zh-CN"/>
        </w:rPr>
      </w:pPr>
      <w:r w:rsidRPr="005046EB">
        <w:rPr>
          <w:rFonts w:ascii="Arial" w:eastAsia="SimSun" w:hAnsi="Arial" w:cs="Times New Roman"/>
          <w:sz w:val="20"/>
          <w:szCs w:val="24"/>
          <w:lang w:val="pl-PL" w:eastAsia="zh-CN"/>
        </w:rPr>
        <w:t xml:space="preserve">Do kompetencji i obowiązków Komitetu ds. Audytu należy nadzór nad sprawozdawczością finansową, kontrolą wewnętrzną, zarządzaniem ryzykiem oraz wewnętrznymi i zewnętrznymi audytami. Komitet składa Radzie Nadzorczej roczne sprawozdania ze swej działalności. </w:t>
      </w:r>
    </w:p>
    <w:p w:rsidR="005046EB" w:rsidRPr="005046EB" w:rsidRDefault="005046EB" w:rsidP="005046EB">
      <w:pPr>
        <w:spacing w:after="0" w:line="240" w:lineRule="auto"/>
        <w:ind w:left="357" w:firstLine="11"/>
        <w:jc w:val="both"/>
        <w:rPr>
          <w:rFonts w:ascii="Arial" w:eastAsia="SimSun" w:hAnsi="Arial" w:cs="Times New Roman"/>
          <w:sz w:val="20"/>
          <w:szCs w:val="24"/>
          <w:lang w:val="pl-PL" w:eastAsia="zh-CN"/>
        </w:rPr>
      </w:pPr>
    </w:p>
    <w:p w:rsidR="005046EB" w:rsidRPr="005046EB" w:rsidRDefault="005046EB" w:rsidP="005046EB">
      <w:pPr>
        <w:spacing w:after="0" w:line="240" w:lineRule="auto"/>
        <w:ind w:left="357" w:firstLine="11"/>
        <w:jc w:val="both"/>
        <w:rPr>
          <w:rFonts w:ascii="Arial" w:eastAsia="SimSun" w:hAnsi="Arial" w:cs="Times New Roman"/>
          <w:sz w:val="20"/>
          <w:szCs w:val="24"/>
          <w:lang w:val="pl-PL" w:eastAsia="zh-CN"/>
        </w:rPr>
      </w:pPr>
      <w:r w:rsidRPr="005046EB">
        <w:rPr>
          <w:rFonts w:ascii="Arial" w:eastAsia="SimSun" w:hAnsi="Arial" w:cs="Times New Roman"/>
          <w:sz w:val="20"/>
          <w:szCs w:val="24"/>
          <w:lang w:val="pl-PL" w:eastAsia="zh-CN"/>
        </w:rPr>
        <w:t>Rada Nadzorcza powołała stały Komitet ds. Ryzyka i Kapitału. Komitetowi powierzono nadzór nad systemem zarządzania ryzykiem w Banku oraz rekomendację oceny jego skuteczności, wystawianej przez Radę Nadzorczą. Komitet składa Radzie Nadzorczej roczne sprawozdania ze swej działalności. Kompetencje Komitetu w zakresie nadzoru nad funkcjonowaniem systemu zarządzania ryzykiem polegają w szczególności na: weryfikowaniu zgodności polityki Banku w zakresie podejmowanego ryzyka ze strategią i planem finansowym Banku, weryfikowaniu i przedstawianiu Radzie Nadzorczej rekomendacji w odniesieniu do oceny systemu zarządzania ryzykiem, ogólnego poziomu ryzyka Banku, badaniu okresowej informacji przedstawiającej rodzaje i wielkość ryzyka w działalności Banku.</w:t>
      </w:r>
    </w:p>
    <w:p w:rsidR="005046EB" w:rsidRPr="005046EB" w:rsidRDefault="005046EB" w:rsidP="005046EB">
      <w:pPr>
        <w:spacing w:after="0" w:line="240" w:lineRule="auto"/>
        <w:jc w:val="both"/>
        <w:rPr>
          <w:rFonts w:ascii="Arial" w:eastAsia="SimSun" w:hAnsi="Arial" w:cs="Times New Roman"/>
          <w:color w:val="1F497D"/>
          <w:sz w:val="20"/>
          <w:szCs w:val="24"/>
          <w:lang w:val="pl-PL" w:eastAsia="zh-CN"/>
        </w:rPr>
      </w:pPr>
    </w:p>
    <w:p w:rsidR="005046EB" w:rsidRPr="005046EB" w:rsidRDefault="005046EB" w:rsidP="005046EB">
      <w:pPr>
        <w:spacing w:after="0" w:line="240" w:lineRule="auto"/>
        <w:ind w:left="357"/>
        <w:jc w:val="both"/>
        <w:rPr>
          <w:rFonts w:ascii="Arial" w:eastAsia="SimSun" w:hAnsi="Arial" w:cs="Times New Roman"/>
          <w:color w:val="auto"/>
          <w:sz w:val="20"/>
          <w:szCs w:val="24"/>
          <w:lang w:val="pl-PL" w:eastAsia="zh-CN"/>
        </w:rPr>
      </w:pPr>
      <w:r w:rsidRPr="005046EB">
        <w:rPr>
          <w:rFonts w:ascii="Arial" w:eastAsia="SimSun" w:hAnsi="Arial" w:cs="Times New Roman"/>
          <w:color w:val="auto"/>
          <w:sz w:val="20"/>
          <w:szCs w:val="24"/>
          <w:lang w:val="pl-PL" w:eastAsia="zh-CN"/>
        </w:rPr>
        <w:t>Rada Nadzorcza monitorowała zidentyfikowane nieprawidłowości, w tym zidentyfikowane przez jednostki odpowiedzialne za przeprowadzanie monitorowania pionowego i koordynację matrycy funkcji kontroli.</w:t>
      </w:r>
    </w:p>
    <w:p w:rsidR="005046EB" w:rsidRPr="005046EB" w:rsidRDefault="005046EB" w:rsidP="005046EB">
      <w:pPr>
        <w:spacing w:after="0" w:line="240" w:lineRule="auto"/>
        <w:ind w:left="357"/>
        <w:jc w:val="both"/>
        <w:rPr>
          <w:rFonts w:ascii="Arial" w:eastAsia="SimSun" w:hAnsi="Arial" w:cs="Times New Roman"/>
          <w:strike/>
          <w:sz w:val="20"/>
          <w:szCs w:val="24"/>
          <w:lang w:val="pl-PL" w:eastAsia="zh-CN"/>
        </w:rPr>
      </w:pPr>
    </w:p>
    <w:p w:rsidR="005046EB" w:rsidRPr="005046EB" w:rsidRDefault="005046EB" w:rsidP="005046EB">
      <w:pPr>
        <w:spacing w:after="0" w:line="240" w:lineRule="auto"/>
        <w:ind w:left="357"/>
        <w:jc w:val="both"/>
        <w:rPr>
          <w:rFonts w:ascii="Arial" w:eastAsia="SimSun" w:hAnsi="Arial" w:cs="Times New Roman"/>
          <w:sz w:val="20"/>
          <w:szCs w:val="24"/>
          <w:lang w:val="pl-PL" w:eastAsia="zh-CN"/>
        </w:rPr>
      </w:pPr>
      <w:r w:rsidRPr="005046EB">
        <w:rPr>
          <w:rFonts w:ascii="Arial" w:eastAsia="SimSun" w:hAnsi="Arial" w:cs="Times New Roman"/>
          <w:sz w:val="20"/>
          <w:szCs w:val="24"/>
          <w:lang w:val="pl-PL" w:eastAsia="zh-CN"/>
        </w:rPr>
        <w:t xml:space="preserve">Zgodnie z „Zasadami funkcjonowania systemu kontroli wewnętrznej w Banku Handlowym w Warszawie S.A.” Rada Nadzorcza przeprowadziła coroczną ocenę adekwatności i skuteczności systemu kontroli wewnętrznej, w tym adekwatności i skuteczności funkcji kontroli, jednostki zgodności i jednostki audytu wewnętrznego. Rada Nadzorcza oceniła system kontroli wewnętrznej jako adekwatny i skuteczny.  Ocena została dokonana z uwzględnieniem informacji zarządczych, raportów z procesu samooceny, raportów środowiska kontroli przedkładanych przez Audyt Wewnętrzny w Sprawozdaniu Departamentu Audytu do Komitetu ds. Audytu Rady Nadzorczej Banku Handlowego w Warszawie S.A oraz rekomendacji Komitetu ds. Audytu. Na koniec  2020 r. zagregowana ocena MCA  kształtowała się na poziomie Tier 4, a ocena Audytu kształtowała się na poziomie „możliwa poprawa”. </w:t>
      </w:r>
    </w:p>
    <w:p w:rsidR="005046EB" w:rsidRPr="005046EB" w:rsidRDefault="005046EB" w:rsidP="005046EB">
      <w:pPr>
        <w:spacing w:after="0" w:line="240" w:lineRule="auto"/>
        <w:ind w:left="357"/>
        <w:jc w:val="both"/>
        <w:rPr>
          <w:rFonts w:ascii="Arial" w:eastAsia="SimSun" w:hAnsi="Arial" w:cs="Times New Roman"/>
          <w:sz w:val="20"/>
          <w:szCs w:val="24"/>
          <w:lang w:val="pl-PL" w:eastAsia="zh-CN"/>
        </w:rPr>
      </w:pPr>
    </w:p>
    <w:p w:rsidR="005046EB" w:rsidRPr="005046EB" w:rsidRDefault="005046EB" w:rsidP="005046EB">
      <w:pPr>
        <w:spacing w:after="0" w:line="240" w:lineRule="auto"/>
        <w:ind w:left="357"/>
        <w:jc w:val="both"/>
        <w:rPr>
          <w:rFonts w:ascii="Arial" w:eastAsia="SimSun" w:hAnsi="Arial" w:cs="Times New Roman"/>
          <w:color w:val="auto"/>
          <w:sz w:val="20"/>
          <w:szCs w:val="24"/>
          <w:lang w:val="pl-PL" w:eastAsia="zh-CN"/>
        </w:rPr>
      </w:pPr>
      <w:r w:rsidRPr="005046EB">
        <w:rPr>
          <w:rFonts w:ascii="Arial" w:eastAsia="SimSun" w:hAnsi="Arial" w:cs="Times New Roman"/>
          <w:sz w:val="20"/>
          <w:szCs w:val="24"/>
          <w:lang w:val="pl-PL" w:eastAsia="zh-CN"/>
        </w:rPr>
        <w:t>Jednocześnie, uwzględniając rekomendację Komitetu ds. Ryzyka i Kapitału, Rada Nadzorcza oceniła system zarządzania ryzykiem jako efektywny i adekwatny do skali i kompleksowości działalności Banku. Ocena dokonana została z uwzględnieniem informacji zarządczych obejmujących ilościowe i jakościowe kryteria zarzadzania poszczególnymi kategoriami ryzyka. Rada zapoznała się i nie wniosła zastrzeżeń do oceny efektywności wdrożonych przez Bank, uwzględnionych w raportach zarządczych, polityk zarządzania ryzykiem.</w:t>
      </w:r>
    </w:p>
    <w:p w:rsidR="005046EB" w:rsidRPr="005046EB" w:rsidRDefault="005046EB" w:rsidP="005046EB">
      <w:pPr>
        <w:spacing w:after="0" w:line="240" w:lineRule="auto"/>
        <w:jc w:val="both"/>
        <w:rPr>
          <w:rFonts w:ascii="Arial" w:eastAsia="SimSun" w:hAnsi="Arial" w:cs="Times New Roman"/>
          <w:color w:val="auto"/>
          <w:sz w:val="20"/>
          <w:szCs w:val="24"/>
          <w:lang w:val="pl-PL" w:eastAsia="zh-CN"/>
        </w:rPr>
      </w:pPr>
    </w:p>
    <w:p w:rsidR="005046EB" w:rsidRPr="005046EB" w:rsidRDefault="005046EB" w:rsidP="005046EB">
      <w:pPr>
        <w:spacing w:after="0" w:line="240" w:lineRule="auto"/>
        <w:ind w:left="357"/>
        <w:jc w:val="both"/>
        <w:rPr>
          <w:rFonts w:ascii="Arial" w:eastAsia="SimSun" w:hAnsi="Arial" w:cs="Times New Roman"/>
          <w:color w:val="auto"/>
          <w:sz w:val="20"/>
          <w:szCs w:val="24"/>
          <w:lang w:val="pl-PL"/>
        </w:rPr>
      </w:pPr>
      <w:r w:rsidRPr="005046EB">
        <w:rPr>
          <w:rFonts w:ascii="Arial" w:eastAsia="SimSun" w:hAnsi="Arial" w:cs="Times New Roman"/>
          <w:sz w:val="20"/>
          <w:szCs w:val="24"/>
          <w:lang w:val="pl-PL" w:eastAsia="zh-CN"/>
        </w:rPr>
        <w:t xml:space="preserve">Bank ma </w:t>
      </w:r>
      <w:r w:rsidRPr="005046EB">
        <w:rPr>
          <w:rFonts w:ascii="Arial" w:eastAsia="SimSun" w:hAnsi="Arial" w:cs="Times New Roman"/>
          <w:color w:val="auto"/>
          <w:sz w:val="20"/>
          <w:szCs w:val="24"/>
          <w:lang w:val="pl-PL" w:eastAsia="zh-CN"/>
        </w:rPr>
        <w:t>wdro</w:t>
      </w:r>
      <w:r w:rsidRPr="005046EB">
        <w:rPr>
          <w:rFonts w:ascii="Arial" w:eastAsia="SimSun" w:hAnsi="Arial" w:cs="Times New Roman"/>
          <w:sz w:val="20"/>
          <w:szCs w:val="24"/>
          <w:lang w:val="pl-PL" w:eastAsia="zh-CN"/>
        </w:rPr>
        <w:t xml:space="preserve">żone </w:t>
      </w:r>
      <w:r w:rsidRPr="005046EB">
        <w:rPr>
          <w:rFonts w:ascii="Arial" w:eastAsia="SimSun" w:hAnsi="Arial" w:cs="Times New Roman"/>
          <w:color w:val="auto"/>
          <w:sz w:val="20"/>
          <w:szCs w:val="24"/>
          <w:lang w:val="pl-PL" w:eastAsia="zh-CN"/>
        </w:rPr>
        <w:t>procedur</w:t>
      </w:r>
      <w:r w:rsidRPr="005046EB">
        <w:rPr>
          <w:rFonts w:ascii="Arial" w:eastAsia="SimSun" w:hAnsi="Arial" w:cs="Times New Roman"/>
          <w:sz w:val="20"/>
          <w:szCs w:val="24"/>
          <w:lang w:val="pl-PL" w:eastAsia="zh-CN"/>
        </w:rPr>
        <w:t>y</w:t>
      </w:r>
      <w:r w:rsidRPr="005046EB">
        <w:rPr>
          <w:rFonts w:ascii="Arial" w:eastAsia="SimSun" w:hAnsi="Arial" w:cs="Times New Roman"/>
          <w:color w:val="auto"/>
          <w:sz w:val="20"/>
          <w:szCs w:val="24"/>
          <w:lang w:val="pl-PL" w:eastAsia="zh-CN"/>
        </w:rPr>
        <w:t xml:space="preserve"> anonimowego zgłaszania przez pracowników naruszeń prawa oraz obowiązujących w Banku procedur i standardów etycznych. </w:t>
      </w:r>
      <w:r w:rsidRPr="005046EB">
        <w:rPr>
          <w:rFonts w:ascii="Arial" w:eastAsia="SimSun" w:hAnsi="Arial" w:cs="Times New Roman"/>
          <w:sz w:val="20"/>
          <w:szCs w:val="24"/>
          <w:lang w:val="pl-PL" w:eastAsia="zh-CN"/>
        </w:rPr>
        <w:t>Został wp</w:t>
      </w:r>
      <w:r w:rsidRPr="005046EB">
        <w:rPr>
          <w:rFonts w:ascii="Arial" w:eastAsia="SimSun" w:hAnsi="Arial" w:cs="Times New Roman"/>
          <w:color w:val="auto"/>
          <w:sz w:val="20"/>
          <w:szCs w:val="24"/>
          <w:lang w:val="pl-PL" w:eastAsia="zh-CN"/>
        </w:rPr>
        <w:t>rowadzony</w:t>
      </w:r>
      <w:r w:rsidRPr="005046EB">
        <w:rPr>
          <w:rFonts w:ascii="Arial" w:eastAsia="SimSun" w:hAnsi="Arial" w:cs="Times New Roman"/>
          <w:sz w:val="20"/>
          <w:szCs w:val="24"/>
          <w:lang w:val="pl-PL" w:eastAsia="zh-CN"/>
        </w:rPr>
        <w:t xml:space="preserve"> </w:t>
      </w:r>
      <w:r w:rsidRPr="005046EB">
        <w:rPr>
          <w:rFonts w:ascii="Arial" w:eastAsia="SimSun" w:hAnsi="Arial" w:cs="Times New Roman"/>
          <w:color w:val="auto"/>
          <w:sz w:val="20"/>
          <w:szCs w:val="24"/>
          <w:lang w:val="pl-PL" w:eastAsia="zh-CN"/>
        </w:rPr>
        <w:t xml:space="preserve">proces zgłaszania naruszeń do Rady  Nadzorczej (Przewodniczącego Rady Nadzorczej) w przypadku, gdy zgłoszenie dotyczy członka Zarządu oraz przedstawiania Radzie Nadzorczej informacji o istotnych sprawach etycznych.  Rada Nadzorcza,  nie rzadziej niż raz w roku, ocenia adekwatność i skuteczność procedury </w:t>
      </w:r>
      <w:r w:rsidRPr="005046EB">
        <w:rPr>
          <w:rFonts w:ascii="Arial" w:eastAsia="SimSun" w:hAnsi="Arial" w:cs="Times New Roman"/>
          <w:color w:val="auto"/>
          <w:sz w:val="20"/>
          <w:szCs w:val="24"/>
          <w:lang w:val="pl-PL" w:eastAsia="zh-CN"/>
        </w:rPr>
        <w:lastRenderedPageBreak/>
        <w:t>anonimowego zgłaszania przez pracowników naruszeń. Na posiedzeniu w dniach 24-25 marca 2021 r. Rada Nadzorcza w oparciu o informacje przekazywane przez Członka Zarządu wyznaczonego do odbierania zgłoszeń anonimowych oraz w oparciu o „Raport Departamentu Zgodności dotyczący funkcjonowania Procedury Anonimowego Zgłaszania przez Pracowników Naruszeń w 2020 roku” oraz na podstawie pozytywnej rekomendacji Komitetu ds. Audytu Rady Nadzorczej, dokonała pozytywnej oceny adekwatności i skuteczności procedury anonimowego zgłaszania przez pracowników naruszeń za 2020 rok.</w:t>
      </w:r>
    </w:p>
    <w:p w:rsidR="005046EB" w:rsidRPr="005046EB" w:rsidRDefault="005046EB" w:rsidP="005046EB">
      <w:pPr>
        <w:tabs>
          <w:tab w:val="num" w:pos="0"/>
        </w:tabs>
        <w:spacing w:after="0" w:line="240" w:lineRule="auto"/>
        <w:jc w:val="both"/>
        <w:rPr>
          <w:rFonts w:ascii="Arial" w:eastAsia="SimSun" w:hAnsi="Arial" w:cs="Arial"/>
          <w:sz w:val="20"/>
          <w:szCs w:val="20"/>
          <w:lang w:val="pl-PL" w:eastAsia="zh-CN"/>
        </w:rPr>
      </w:pPr>
    </w:p>
    <w:p w:rsidR="005046EB" w:rsidRPr="005046EB" w:rsidRDefault="005046EB" w:rsidP="005046EB">
      <w:pPr>
        <w:tabs>
          <w:tab w:val="num" w:pos="0"/>
        </w:tabs>
        <w:spacing w:after="0" w:line="240" w:lineRule="auto"/>
        <w:jc w:val="both"/>
        <w:rPr>
          <w:rFonts w:ascii="Arial" w:eastAsia="SimSun" w:hAnsi="Arial" w:cs="Arial"/>
          <w:sz w:val="20"/>
          <w:szCs w:val="20"/>
          <w:lang w:val="pl-PL" w:eastAsia="zh-CN"/>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 xml:space="preserve">OCENA PRACY RADY NADZORCZEJ </w:t>
      </w:r>
    </w:p>
    <w:p w:rsidR="005046EB" w:rsidRPr="005046EB" w:rsidRDefault="005046EB" w:rsidP="005046EB">
      <w:pPr>
        <w:spacing w:after="0" w:line="240" w:lineRule="auto"/>
        <w:jc w:val="both"/>
        <w:rPr>
          <w:rFonts w:ascii="Arial" w:eastAsia="SimSun" w:hAnsi="Arial" w:cs="Arial"/>
          <w:color w:val="auto"/>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Ład korporacyjny</w:t>
      </w:r>
    </w:p>
    <w:p w:rsidR="005046EB" w:rsidRPr="005046EB" w:rsidRDefault="005046EB" w:rsidP="005046EB">
      <w:pPr>
        <w:tabs>
          <w:tab w:val="left" w:pos="851"/>
        </w:tabs>
        <w:spacing w:after="0" w:line="240" w:lineRule="auto"/>
        <w:ind w:left="851"/>
        <w:jc w:val="both"/>
        <w:rPr>
          <w:rFonts w:ascii="Arial" w:eastAsia="SimSun" w:hAnsi="Arial" w:cs="Arial"/>
          <w:color w:val="auto"/>
          <w:sz w:val="20"/>
          <w:szCs w:val="20"/>
          <w:lang w:val="pl-PL" w:eastAsia="zh-CN"/>
        </w:rPr>
      </w:pPr>
    </w:p>
    <w:p w:rsidR="005046EB" w:rsidRPr="005046EB" w:rsidRDefault="005046EB" w:rsidP="005046EB">
      <w:pPr>
        <w:spacing w:after="0" w:line="240"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W ramach przyjęcia do stosowania, w 2014 r. – przez Zarząd Banku i Radę Nadzorczą, a następnie w 2015 r. – przez Walne Zgromadzenie, dokumentu Zasady Ładu Korporacyjnego dla Instytucji Nadzorowanych wydanego przez Komisję Nadzoru Finansowego, Rada Nadzorcza, na posiedzeniu w dniach 24-25 marca 2021 r. zapoznała się ze „Sprawozdaniem za 2020 rok – ocena stosowania Zasad Ładu Korporacyjnego dla Instytucji Nadzorowanych Komisji Nadzoru Finansowego w Banku Handlowym w Warszawie S.A.”, przygotowanym przez Departament Zgodności, zawierającym niezależną ocenę stosowania „Zasad Ładu Korporacyjnego dla Instytucji Nadzorowanych”.</w:t>
      </w:r>
    </w:p>
    <w:p w:rsidR="005046EB" w:rsidRPr="005046EB" w:rsidRDefault="005046EB" w:rsidP="005046EB">
      <w:pPr>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Rada Nadzorcza, na podstawie określonego powyżej Sprawozdania Departamentu Zgodności zawierającego niezależną ocenę stosowania „Zasad Ładu Korporacyjnego dla Instytucji Nadzorowanych” oraz uwzględniając pozytywną rekomendację Komitetu ds. Audytu Rady Nadzorczej dokonała niezależnej oceny stwierdzając, że Bank w roku 2020 stosował zasady wynikające z Zasad Ładu Korporacyjnego dla Instytucji Nadzorowanych, z zastrzeżeniem zasad, co do których podjęta została decyzja o ich niestosowaniu. Uchwałę powzięto jednogłośnie.</w:t>
      </w:r>
    </w:p>
    <w:p w:rsidR="005046EB" w:rsidRPr="005046EB" w:rsidRDefault="005046EB" w:rsidP="005046EB">
      <w:pPr>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 xml:space="preserve">Bank podtrzymał decyzję o niestosowaniu trzech zasad: </w:t>
      </w:r>
    </w:p>
    <w:p w:rsidR="005046EB" w:rsidRPr="005046EB" w:rsidRDefault="005046EB" w:rsidP="005046EB">
      <w:pPr>
        <w:shd w:val="clear" w:color="auto" w:fill="FFFFFF"/>
        <w:spacing w:after="0" w:line="240" w:lineRule="auto"/>
        <w:ind w:left="1134" w:hanging="283"/>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1)</w:t>
      </w:r>
      <w:r w:rsidRPr="005046EB">
        <w:rPr>
          <w:rFonts w:ascii="Arial" w:eastAsia="SimSun" w:hAnsi="Arial" w:cs="Arial"/>
          <w:bCs/>
          <w:color w:val="auto"/>
          <w:sz w:val="20"/>
          <w:szCs w:val="20"/>
          <w:lang w:val="pl-PL" w:eastAsia="zh-CN"/>
        </w:rPr>
        <w:tab/>
        <w:t>§ 11.2 (transakcje z podmiotami powiązanymi) – zasada ta nie będzie stosowana w zakresie umów związanych z bieżącą działalnością operacyjną, w szczególności związanych z płynnością z uwagi na charakter transakcji i ilość zawieranych umów.</w:t>
      </w:r>
    </w:p>
    <w:p w:rsidR="005046EB" w:rsidRPr="005046EB" w:rsidRDefault="005046EB" w:rsidP="005046EB">
      <w:pPr>
        <w:shd w:val="clear" w:color="auto" w:fill="FFFFFF"/>
        <w:spacing w:after="0" w:line="240" w:lineRule="auto"/>
        <w:ind w:left="1134" w:hanging="283"/>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2)</w:t>
      </w:r>
      <w:r w:rsidRPr="005046EB">
        <w:rPr>
          <w:rFonts w:ascii="Arial" w:eastAsia="SimSun" w:hAnsi="Arial" w:cs="Arial"/>
          <w:bCs/>
          <w:color w:val="auto"/>
          <w:sz w:val="20"/>
          <w:szCs w:val="20"/>
          <w:lang w:val="pl-PL" w:eastAsia="zh-CN"/>
        </w:rPr>
        <w:tab/>
        <w:t>§ 8.4 (e-walne) – obecnie dostępne rozwiązania informatyczne nie gwarantują bezpiecznego i sprawnego przeprowadzenia elektronicznego walnego zgromadzenia. Zarząd dostrzega jednak wagę takiego sposobu udziału akcjonariuszy w zgromadzeniu Banku i dlatego osobną decyzję w tej sprawie będzie podejmował przed każdym walnym zgromadzeniem.</w:t>
      </w:r>
    </w:p>
    <w:p w:rsidR="005046EB" w:rsidRPr="005046EB" w:rsidRDefault="005046EB" w:rsidP="005046EB">
      <w:pPr>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3)</w:t>
      </w:r>
      <w:r w:rsidRPr="005046EB">
        <w:rPr>
          <w:rFonts w:ascii="Arial" w:eastAsia="SimSun" w:hAnsi="Arial" w:cs="Arial"/>
          <w:bCs/>
          <w:color w:val="auto"/>
          <w:sz w:val="20"/>
          <w:szCs w:val="20"/>
          <w:lang w:val="pl-PL" w:eastAsia="zh-CN"/>
        </w:rPr>
        <w:tab/>
        <w:t>§ 16.1 (język polski na posiedzeniach Zarządu) –posiedzenia Zarządu, w których biorą udział cudzoziemcy, w szczególności cudzoziemcy będący członkami Zarządu nieposługujący się językiem polskim, odbywają się w języku angielskim. Jednocześnie wnioski na Zarząd, wszelkie materiały oraz protokoły z posiedzeń przygotowywane są i archiwizowane w języku polskim.</w:t>
      </w:r>
    </w:p>
    <w:p w:rsidR="005046EB" w:rsidRPr="005046EB" w:rsidRDefault="005046EB" w:rsidP="005046EB">
      <w:pPr>
        <w:spacing w:after="0" w:line="240" w:lineRule="auto"/>
        <w:ind w:left="851"/>
        <w:jc w:val="both"/>
        <w:rPr>
          <w:rFonts w:ascii="Arial" w:eastAsia="SimSun" w:hAnsi="Arial" w:cs="Arial"/>
          <w:bCs/>
          <w:color w:val="FF0000"/>
          <w:sz w:val="20"/>
          <w:szCs w:val="20"/>
          <w:lang w:val="pl-PL" w:eastAsia="zh-CN"/>
        </w:rPr>
      </w:pPr>
    </w:p>
    <w:p w:rsidR="005046EB" w:rsidRPr="005046EB" w:rsidRDefault="005046EB" w:rsidP="005046EB">
      <w:pPr>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 xml:space="preserve">Rozliczenia pomiędzy Bankiem a Citigroup </w:t>
      </w:r>
    </w:p>
    <w:p w:rsidR="005046EB" w:rsidRPr="005046EB" w:rsidRDefault="005046EB" w:rsidP="005046EB">
      <w:pPr>
        <w:spacing w:after="0" w:line="240" w:lineRule="auto"/>
        <w:rPr>
          <w:rFonts w:ascii="Arial" w:eastAsia="SimSun" w:hAnsi="Arial" w:cs="Arial"/>
          <w:color w:val="auto"/>
          <w:sz w:val="20"/>
          <w:szCs w:val="20"/>
          <w:lang w:val="pl-PL" w:eastAsia="zh-CN"/>
        </w:rPr>
      </w:pPr>
    </w:p>
    <w:p w:rsidR="005046EB" w:rsidRPr="005046EB" w:rsidRDefault="005046EB" w:rsidP="005046EB">
      <w:pPr>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W okresie objętym niniejszym sprawozdaniem Rada Nadzorcza zajmowała się kwestiami związanymi z outsourcingiem czynności faktycznych w tym w obszarze outsourcingu bankowego.</w:t>
      </w:r>
      <w:r w:rsidRPr="005046EB">
        <w:rPr>
          <w:rFonts w:ascii="Arial" w:eastAsia="SimSun" w:hAnsi="Arial" w:cs="Arial"/>
          <w:color w:val="auto"/>
          <w:sz w:val="20"/>
          <w:szCs w:val="20"/>
          <w:lang w:val="pl-PL" w:eastAsia="zh-CN"/>
        </w:rPr>
        <w:t xml:space="preserve"> </w:t>
      </w:r>
      <w:r w:rsidRPr="005046EB">
        <w:rPr>
          <w:rFonts w:ascii="Arial" w:eastAsia="SimSun" w:hAnsi="Arial" w:cs="Arial"/>
          <w:bCs/>
          <w:color w:val="auto"/>
          <w:sz w:val="20"/>
          <w:szCs w:val="20"/>
          <w:lang w:val="pl-PL" w:eastAsia="zh-CN"/>
        </w:rPr>
        <w:t xml:space="preserve">Nadzorem były objęte płatności wynikające z umów dotyczących wykonywania, na rzecz Banku usług wsparcia operacyjnego, wsparcia produkcyjnego i rozwoju aplikacji IT. </w:t>
      </w:r>
    </w:p>
    <w:p w:rsidR="005046EB" w:rsidRPr="005046EB" w:rsidRDefault="005046EB" w:rsidP="005046EB">
      <w:pPr>
        <w:spacing w:after="0" w:line="240" w:lineRule="auto"/>
        <w:ind w:left="1276"/>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1276"/>
        <w:jc w:val="both"/>
        <w:rPr>
          <w:rFonts w:ascii="Arial" w:eastAsia="SimSun" w:hAnsi="Arial" w:cs="Arial"/>
          <w:color w:val="auto"/>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Zmiany Statutu Banku i regulaminów</w:t>
      </w:r>
    </w:p>
    <w:p w:rsidR="005046EB" w:rsidRPr="005046EB" w:rsidRDefault="005046EB" w:rsidP="005046EB">
      <w:pPr>
        <w:tabs>
          <w:tab w:val="left" w:pos="851"/>
        </w:tabs>
        <w:spacing w:after="0" w:line="240" w:lineRule="auto"/>
        <w:ind w:left="851"/>
        <w:jc w:val="both"/>
        <w:rPr>
          <w:rFonts w:ascii="Arial" w:eastAsia="SimSun" w:hAnsi="Arial" w:cs="Arial"/>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color w:val="auto"/>
          <w:sz w:val="20"/>
          <w:szCs w:val="20"/>
          <w:lang w:val="pl-PL" w:eastAsia="zh-CN"/>
        </w:rPr>
      </w:pPr>
      <w:r w:rsidRPr="005046EB">
        <w:rPr>
          <w:rFonts w:ascii="Arial" w:eastAsia="SimSun" w:hAnsi="Arial" w:cs="Arial"/>
          <w:bCs/>
          <w:color w:val="auto"/>
          <w:sz w:val="20"/>
          <w:szCs w:val="20"/>
          <w:lang w:val="pl-PL" w:eastAsia="zh-CN"/>
        </w:rPr>
        <w:t xml:space="preserve">Rada Nadzorcza w dniu 24 września 2020 r. dokonała zmiany Regulaminu </w:t>
      </w:r>
      <w:r w:rsidRPr="005046EB">
        <w:rPr>
          <w:rFonts w:ascii="Arial" w:eastAsia="SimSun" w:hAnsi="Arial" w:cs="Arial"/>
          <w:color w:val="auto"/>
          <w:sz w:val="20"/>
          <w:szCs w:val="20"/>
          <w:lang w:val="pl-PL" w:eastAsia="zh-CN"/>
        </w:rPr>
        <w:t xml:space="preserve">Komitetu ds. Nominacji i Wynagrodzeń, </w:t>
      </w:r>
      <w:r w:rsidRPr="005046EB">
        <w:rPr>
          <w:rFonts w:ascii="Arial" w:eastAsia="SimSun" w:hAnsi="Arial" w:cs="Times New Roman"/>
          <w:color w:val="auto"/>
          <w:sz w:val="20"/>
          <w:szCs w:val="24"/>
          <w:lang w:val="pl-PL" w:eastAsia="zh-CN"/>
        </w:rPr>
        <w:t>w celu doprecyzowania, że niezależność członka Komitetu ds. Nominacji i Wynagrodzeń oceniana jest zgodnie z Zasadami Ładu Korporacyjnego dla Instytucji Nadzorowanych przyjętymi przez Komisję Nadzoru Finansowego.</w:t>
      </w:r>
    </w:p>
    <w:p w:rsidR="005046EB" w:rsidRPr="005046EB" w:rsidRDefault="005046EB" w:rsidP="005046EB">
      <w:pPr>
        <w:spacing w:after="0" w:line="240" w:lineRule="auto"/>
        <w:jc w:val="both"/>
        <w:rPr>
          <w:rFonts w:ascii="Arial" w:eastAsia="SimSun" w:hAnsi="Arial" w:cs="Arial"/>
          <w:bCs/>
          <w:color w:val="auto"/>
          <w:sz w:val="20"/>
          <w:szCs w:val="20"/>
          <w:lang w:val="pl-PL" w:eastAsia="zh-CN"/>
        </w:rPr>
      </w:pPr>
    </w:p>
    <w:p w:rsidR="005046EB" w:rsidRPr="005046EB" w:rsidRDefault="005046EB" w:rsidP="00223F2E">
      <w:pPr>
        <w:numPr>
          <w:ilvl w:val="1"/>
          <w:numId w:val="14"/>
        </w:numPr>
        <w:tabs>
          <w:tab w:val="left" w:pos="851"/>
        </w:tabs>
        <w:spacing w:after="0" w:line="240" w:lineRule="auto"/>
        <w:ind w:left="851" w:hanging="49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Inne sprawy </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 xml:space="preserve">Rada Nadzorcza, w ramach swych kompetencji, rozpatrywała raporty Departamentu Audytu za kolejne okresy sprawozdawcze oraz sprawozdania Zespołu Inspektorów Nadzoru dotyczące funkcjonowania systemu nadzoru i zgodności z prawem działalności powierniczej Banku.  Ponadto Rada Nadzorcza zajmowała się kwestiami dotyczącymi nabycia prawa do Odroczonego Wynagrodzenia Zmiennego członków Zarządu Banku, analizowała cykliczne sprawozdania Zarządu Banku o realizacji polityki z obszaru bancassurance oraz raport o poziomie ponoszonego przez Bank </w:t>
      </w:r>
      <w:r w:rsidRPr="005046EB">
        <w:rPr>
          <w:rFonts w:ascii="Arial" w:eastAsia="SimSun" w:hAnsi="Arial" w:cs="Arial"/>
          <w:bCs/>
          <w:color w:val="auto"/>
          <w:sz w:val="20"/>
          <w:szCs w:val="20"/>
          <w:lang w:val="pl-PL" w:eastAsia="zh-CN"/>
        </w:rPr>
        <w:lastRenderedPageBreak/>
        <w:t xml:space="preserve">ryzyka z tytułu detalicznych ekspozycji kredytowych (niezabezpieczonych i zabezpieczonych hipotecznie). </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Uchwałą Nr 1/VII/O/2020 z dnia 18 lipca 2020 r. Rada Nadzorcza zatwierdziła Jednostkowy Plan Naprawy dla Banku Handlowego w Warszawie S.A.” oraz "Grupowy Plan Naprawy dla Grupy Kapitałowej Banku Handlowego w Warszawie S.A.”</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 xml:space="preserve">Na posiedzeniu w dniu 24 września 2020 r. Rada Nadzorcza zatwierdziła „Politykę oceny kwalifikacji członków Zarządu oraz osób pełniących kluczowe funkcje w Banku Handlowym w Warszawie S.A.”. Rada Nadzorcza podjęła również uchwałę w sprawie niezależnej oceny zgodności działalności funkcji audytu wewnętrznego względem Standardów Międzynarodowego Instytut Audytorów Wewnętrznych oraz Rekomendacji H, przeprowadzonej przez Ernst &amp; Young spółka z ograniczoną odpowiedzialnością Business Advisory spółka komandytowa. </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 xml:space="preserve">W dniu 4 listopada 2020 r. Rada Nadzorcza rozpatrzyła wniosek Zarządu w sprawie zwołania Nadzwyczajnego Walnego Zgromadzenia Banku na dzień 2 grudnia 2020 r. </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Na kolejnym posiedzeniu w dniu 4 grudnia 2020 r. Rada Nadzorcza zatwierdziła zmiany do „Polityki wynagrodzeń osób, których działalność zawodowa ma istotny wpływ na profil ryzyka Banku Handlowego w Warszawie S.A.” zatwierdziła również Plan Audytów na 2021 r. W kolejnym punkcie posiedzenia Rada Nadzorcza zapoznała się ze wstępnym Planem Finansowym Banku na rok 2021.</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W dniu 19 stycznia 2021 roku Rada Nadzorcza potwierdziła, iż w ramach swoich kompetencji będzie sprawować właściwy nadzór nad realizacją zalecenia KNF obejmującego wstrzymanie wypłaty dywidendy w pierwszym półroczu 2021 roku (w tym także niepodzielonego zysku z lat ubiegłych) oraz niepodejmowanie przez Bank w pierwszym półroczu 2021 roku, bez uprzedniej konsultacji z organem nadzoru, innych działań pozostających poza zakresem bieżącej działalności biznesowej i operacyjnej, mogących skutkować obniżeniem bazy kapitałowej, w tym wykupów akcji własnych.</w:t>
      </w:r>
    </w:p>
    <w:p w:rsidR="005046EB" w:rsidRPr="005046EB" w:rsidRDefault="005046EB" w:rsidP="005046EB">
      <w:pPr>
        <w:tabs>
          <w:tab w:val="left" w:pos="851"/>
        </w:tabs>
        <w:spacing w:after="0" w:line="240" w:lineRule="auto"/>
        <w:ind w:left="851"/>
        <w:jc w:val="both"/>
        <w:rPr>
          <w:rFonts w:ascii="Arial" w:eastAsia="SimSun" w:hAnsi="Arial" w:cs="Arial"/>
          <w:bCs/>
          <w:color w:val="auto"/>
          <w:sz w:val="20"/>
          <w:szCs w:val="20"/>
          <w:lang w:val="pl-PL" w:eastAsia="zh-CN"/>
        </w:rPr>
      </w:pPr>
    </w:p>
    <w:p w:rsidR="005046EB" w:rsidRPr="005046EB" w:rsidRDefault="005046EB" w:rsidP="005046EB">
      <w:pPr>
        <w:tabs>
          <w:tab w:val="left" w:pos="851"/>
        </w:tabs>
        <w:spacing w:after="0" w:line="240" w:lineRule="auto"/>
        <w:ind w:left="851"/>
        <w:jc w:val="both"/>
        <w:rPr>
          <w:rFonts w:ascii="Arial" w:eastAsia="SimSun" w:hAnsi="Arial" w:cs="Arial"/>
          <w:color w:val="auto"/>
          <w:sz w:val="20"/>
          <w:szCs w:val="20"/>
          <w:lang w:val="pl-PL" w:eastAsia="zh-CN"/>
        </w:rPr>
      </w:pPr>
      <w:r w:rsidRPr="005046EB">
        <w:rPr>
          <w:rFonts w:ascii="Arial" w:eastAsia="SimSun" w:hAnsi="Arial" w:cs="Times New Roman"/>
          <w:color w:val="auto"/>
          <w:sz w:val="20"/>
          <w:szCs w:val="20"/>
          <w:lang w:val="pl-PL" w:eastAsia="zh-CN"/>
        </w:rPr>
        <w:t>Podczas posiedzenia w dniach 24-25 marca 2021 r. Rada Nadzorcza przyjęła i</w:t>
      </w:r>
      <w:r w:rsidRPr="005046EB">
        <w:rPr>
          <w:rFonts w:ascii="Arial" w:eastAsia="SimSun" w:hAnsi="Arial" w:cs="Arial"/>
          <w:color w:val="auto"/>
          <w:sz w:val="20"/>
          <w:szCs w:val="20"/>
          <w:lang w:val="pl-PL" w:eastAsia="zh-CN"/>
        </w:rPr>
        <w:t xml:space="preserve">nformację dotyczącą oceny efektywności i adekwatności systemu zarządzania ryzykiem, z uwzględnieniem informacji o  realizacji zasad wybranych polityk zarządzania ryzykiem. </w:t>
      </w:r>
    </w:p>
    <w:p w:rsidR="005046EB" w:rsidRPr="005046EB" w:rsidRDefault="005046EB" w:rsidP="005046EB">
      <w:pPr>
        <w:tabs>
          <w:tab w:val="left" w:pos="851"/>
        </w:tabs>
        <w:spacing w:after="0" w:line="240" w:lineRule="auto"/>
        <w:ind w:left="851"/>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W dalszej części porządku obrad Rada dokonała akceptacji dopuszczalnego ogólnego poziomu ryzyka (Ogólnego apetytu na ryzyko) na rok 2021 oraz akceptacji zmian do dokumentu  „Zasady ostrożnego i stabilnego zarządzania ryzykiem w Grupie Kapitałowej Banku Handlowego w Warszawie S.A.” Ponadto Rada Nadzorcza przyjęła informację na temat realizacji „Strategii Departamentu Audytu w 2020 r.” Rada podjęła również Uchwałę w sprawie oceny stosowania przez Bank zasad zawartych w dokumencie pod nazwą „Zasady Ładu Korporacyjnego dla Instytucji Nadzorowanych” wydanych  przez Komisję Nadzoru Finansowego oraz zapoznała się z informacją w sprawie ostatecznego Planu Finansowego Grupy Kapitałowej Banku na bazie skonsolidowanej na rok 2021. Ponadto Rada Nadzorcza zatwierdziła roczne „Sprawozdanie z realizacji funkcji monitoringu zgodności oraz zarządzania ryzykiem braku zgodności w Banku Handlowym w Warszawie S.A. w 2020 roku” oraz „Roczny Plan Zapewnienia Zgodności działania Banku w 2021 r.” </w:t>
      </w:r>
    </w:p>
    <w:p w:rsidR="005046EB" w:rsidRPr="005046EB" w:rsidRDefault="005046EB" w:rsidP="005046EB">
      <w:pPr>
        <w:spacing w:after="0" w:line="240" w:lineRule="auto"/>
        <w:jc w:val="center"/>
        <w:rPr>
          <w:rFonts w:ascii="Arial" w:eastAsia="SimSun" w:hAnsi="Arial" w:cs="Arial"/>
          <w:b/>
          <w:bCs/>
          <w:color w:val="auto"/>
          <w:sz w:val="20"/>
          <w:szCs w:val="20"/>
          <w:lang w:val="pl-PL" w:eastAsia="zh-CN"/>
        </w:rPr>
      </w:pPr>
    </w:p>
    <w:p w:rsidR="005046EB" w:rsidRPr="005046EB" w:rsidRDefault="005046EB" w:rsidP="005046EB">
      <w:pPr>
        <w:widowControl w:val="0"/>
        <w:tabs>
          <w:tab w:val="num" w:pos="1080"/>
        </w:tabs>
        <w:spacing w:after="0" w:line="240" w:lineRule="auto"/>
        <w:ind w:left="1260"/>
        <w:jc w:val="both"/>
        <w:rPr>
          <w:rFonts w:ascii="Arial" w:eastAsia="SimSun" w:hAnsi="Arial" w:cs="Arial"/>
          <w:color w:val="auto"/>
          <w:sz w:val="20"/>
          <w:szCs w:val="20"/>
          <w:lang w:val="pl-PL" w:eastAsia="zh-CN"/>
        </w:rPr>
      </w:pPr>
    </w:p>
    <w:p w:rsidR="005046EB" w:rsidRPr="005046EB" w:rsidRDefault="005046EB" w:rsidP="00223F2E">
      <w:pPr>
        <w:numPr>
          <w:ilvl w:val="0"/>
          <w:numId w:val="14"/>
        </w:numPr>
        <w:spacing w:after="0" w:line="240" w:lineRule="auto"/>
        <w:jc w:val="both"/>
        <w:rPr>
          <w:rFonts w:ascii="Arial" w:eastAsia="SimSun" w:hAnsi="Arial" w:cs="Arial"/>
          <w:b/>
          <w:bCs/>
          <w:color w:val="auto"/>
          <w:sz w:val="20"/>
          <w:szCs w:val="20"/>
          <w:lang w:val="pl-PL" w:eastAsia="zh-CN"/>
        </w:rPr>
      </w:pPr>
      <w:r w:rsidRPr="005046EB">
        <w:rPr>
          <w:rFonts w:ascii="Arial" w:eastAsia="SimSun" w:hAnsi="Arial" w:cs="Arial"/>
          <w:b/>
          <w:bCs/>
          <w:color w:val="auto"/>
          <w:sz w:val="20"/>
          <w:szCs w:val="20"/>
          <w:lang w:val="pl-PL" w:eastAsia="zh-CN"/>
        </w:rPr>
        <w:t xml:space="preserve">OCENA SPRAWOZDAŃ FINANSOWYCH BANKU </w:t>
      </w:r>
    </w:p>
    <w:p w:rsidR="005046EB" w:rsidRPr="005046EB" w:rsidRDefault="005046EB" w:rsidP="005046EB">
      <w:pPr>
        <w:spacing w:after="0" w:line="240" w:lineRule="auto"/>
        <w:ind w:left="360"/>
        <w:jc w:val="both"/>
        <w:rPr>
          <w:rFonts w:ascii="Arial" w:eastAsia="SimSun" w:hAnsi="Arial" w:cs="Arial"/>
          <w:b/>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Podczas posiedzenia, w dniu 24 marca 2021 r. Rada Nadzorcza Banku zgodnie z treścią art. 382 § 3 Kodeksu spółek handlowych, oraz treścią § 70 ust. 1 pkt 14 i § 71 ust. 1 pkt 12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dokonała pozytywnej oceny:</w:t>
      </w:r>
    </w:p>
    <w:p w:rsidR="005046EB" w:rsidRPr="005046EB" w:rsidRDefault="005046EB" w:rsidP="00223F2E">
      <w:pPr>
        <w:numPr>
          <w:ilvl w:val="0"/>
          <w:numId w:val="26"/>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5046EB">
        <w:rPr>
          <w:rFonts w:ascii="Arial" w:eastAsia="SimSun" w:hAnsi="Arial" w:cs="Times New Roman"/>
          <w:color w:val="auto"/>
          <w:spacing w:val="-3"/>
          <w:sz w:val="20"/>
          <w:szCs w:val="24"/>
          <w:lang w:val="pl-PL" w:eastAsia="zh-CN"/>
        </w:rPr>
        <w:t>Rocznego skonsolidowanego sprawozdania finansowego Grupy Kapitałowej Banku Handlowego w Warszawie S.A. za rok obrotowy kończący się 31 grudnia 2020 r.,</w:t>
      </w:r>
    </w:p>
    <w:p w:rsidR="005046EB" w:rsidRPr="005046EB" w:rsidRDefault="005046EB" w:rsidP="00223F2E">
      <w:pPr>
        <w:numPr>
          <w:ilvl w:val="0"/>
          <w:numId w:val="26"/>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5046EB">
        <w:rPr>
          <w:rFonts w:ascii="Arial" w:eastAsia="SimSun" w:hAnsi="Arial" w:cs="Times New Roman"/>
          <w:color w:val="auto"/>
          <w:spacing w:val="-3"/>
          <w:sz w:val="20"/>
          <w:szCs w:val="24"/>
          <w:lang w:val="pl-PL" w:eastAsia="zh-CN"/>
        </w:rPr>
        <w:t>Rocznego jednostkowego sprawozdania finansowego Banku Handlowego w Warszawie S.A. za rok obrotowy kończący się 31 grudnia 2020 r.,</w:t>
      </w:r>
    </w:p>
    <w:p w:rsidR="005046EB" w:rsidRPr="005046EB" w:rsidRDefault="005046EB" w:rsidP="00223F2E">
      <w:pPr>
        <w:numPr>
          <w:ilvl w:val="0"/>
          <w:numId w:val="26"/>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5046EB">
        <w:rPr>
          <w:rFonts w:ascii="Arial" w:eastAsia="SimSun" w:hAnsi="Arial" w:cs="Times New Roman"/>
          <w:color w:val="auto"/>
          <w:spacing w:val="-3"/>
          <w:sz w:val="20"/>
          <w:szCs w:val="24"/>
          <w:lang w:val="pl-PL" w:eastAsia="zh-CN"/>
        </w:rPr>
        <w:t xml:space="preserve">Sprawozdania Zarządu Banku Handlowego w Warszawie S.A. z działalności Grupy Kapitałowej Banku Handlowego w Warszawie S.A. w 2020 rok sporządzonego łącznie ze sprawozdaniem Zarządu Banku Handlowego w Warszawie S.A. z działalności Banku Handlowego w Warszawie S.A., wraz ze </w:t>
      </w:r>
      <w:r w:rsidRPr="005046EB">
        <w:rPr>
          <w:rFonts w:ascii="Arial" w:eastAsia="SimSun" w:hAnsi="Arial" w:cs="Times New Roman"/>
          <w:color w:val="auto"/>
          <w:spacing w:val="-3"/>
          <w:sz w:val="20"/>
          <w:szCs w:val="24"/>
          <w:lang w:val="pl-PL" w:eastAsia="zh-CN"/>
        </w:rPr>
        <w:lastRenderedPageBreak/>
        <w:t>Sprawozdaniem na temat informacji niefinansowych Banku Handlowego w Warszawie S.A. oraz Grupy Kapitałowej Banku Handlowego w Warszawie S.A. za rok obrotowy kończący się 31 grudnia 2020 r.,</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w zakresie ich zgodności z księgami i dokumentami oraz stanem faktycznym.</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Ocena Rady Nadzorczej została dokonana na podstawie treści sprawozdań przedstawionych przez Zarząd Banku Handlowego w Warszawie S.A., sprawozdań niezależnego biegłego rewidenta z badania jednostkowego i skonsolidowanego sprawozdania finansowego oraz rekomendacji Komitetu ds. Audytu Rady Nadzorczej.</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Badanie sprawozdań finansowych zostało przeprowadzone przez firmę audytorską KPMG Audyt Spółka z ograniczoną odpowiedzialnością spółka komandytowa z siedzibą w Warszawie. Według opinii wydanej przez niezależnego biegłego rewidenta, zarówno jednostkowe, jak i skonsolidowane sprawozdanie finansowe Banku Handlowego w Warszawie S.A. oraz Grupy Kapitałowej Banku Handlowego w Warszawie S.A., przedstawia rzetelny i jasny obraz sytuacji majątkowej i finansowej na dzień 31 grudnia 2020 r., finansowych wyników działalności oraz przepływów pieniężnych za rok obrotowy zakończony tego dnia i zostało sporządzone zgodnie z Międzynarodowymi Standardami Sprawozdawczości Finansowej zatwierdzonymi przez Unię Europejską oraz przyjętymi zasadami (polityką) rachunkowości. Ponadto jednostkowe i skonsolidowane sprawozdanie finansowe są zgodne, we wszystkich istotnych aspektach, co do formy i treści z obowiązującymi przepisami prawa oraz Statutem Banku Handlowego w Warszawie S.A.</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Ponadto, w opinii niezależnego biegłego rewidenta, Sprawozdanie Zarządu Banku Handlowego w Warszawie S.A. z działalności Grupy Kapitałowej Banku Handlowego w Warszawie S.A. w 2020 r. sporządzone łącznie ze sprawozdaniem Zarządu Banku Handlowego w Warszawie S.A. z działalności Banku Handlowego w Warszawie S.A., we wszystkich istotnych aspektach zostało sporządzone zgodnie z przepisami prawa oraz jest zgodne z informacjami zawartymi w skonsolidowanym sprawozdaniu finansowym.</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W dniu 19 stycznia 2021 roku Zarząd Banku Handlowego w Warszawie S.A. podjął uchwałę, w której potwierdził przyjęcie do realizacji, w zakresie wynikającym z kompetencji Zarządu Banku, zalecenia Komisji Nadzoru Finansowego wyrażonego w piśmie z dnia 13 stycznia 2021 r. W przedmiotowym piśmie KNF zaleca Bankowi wstrzymanie wypłaty dywidendy w pierwszym półroczu 2021 roku (w tym także niepodzielonego zysku z lat ubiegłych) oraz niepodejmowanie przez Bank w pierwszym półroczu 2021 roku, bez uprzedniej konsultacji z organem nadzoru, innych działań pozostających poza zakresem bieżącej działalności biznesowej i operacyjnej, mogących skutkować obniżeniem bazy kapitałowej, w tym wykupów akcji własnych.</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r w:rsidRPr="005046EB">
        <w:rPr>
          <w:rFonts w:ascii="Arial" w:eastAsia="SimSun" w:hAnsi="Arial" w:cs="Arial"/>
          <w:bCs/>
          <w:color w:val="auto"/>
          <w:sz w:val="20"/>
          <w:szCs w:val="20"/>
          <w:lang w:val="pl-PL" w:eastAsia="zh-CN"/>
        </w:rPr>
        <w:t>W dniu 19 stycznia 2021 roku, w nawiązaniu do ww. uchwały Zarządu Banku, Rada Nadzorcza potwierdza, iż w ramach swoich kompetencji będzie sprawować właściwy nadzór nad realizacją przedmiotowego zalecenia.</w:t>
      </w: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ind w:left="357"/>
        <w:jc w:val="both"/>
        <w:rPr>
          <w:rFonts w:ascii="Arial" w:eastAsia="SimSun" w:hAnsi="Arial" w:cs="Arial"/>
          <w:bCs/>
          <w:color w:val="auto"/>
          <w:sz w:val="20"/>
          <w:szCs w:val="20"/>
          <w:lang w:val="pl-PL" w:eastAsia="zh-CN"/>
        </w:rPr>
      </w:pPr>
    </w:p>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 xml:space="preserve">Biorąc pod uwagę powyższe Rada Nadzorcza, stwierdza, iż w okresie sprawozdawczym zrealizowała postawione przed nią cele wynikające z obowiązujących przepisów prawa. </w:t>
      </w:r>
    </w:p>
    <w:p w:rsidR="005046EB" w:rsidRPr="005046EB" w:rsidRDefault="005046EB" w:rsidP="005046EB">
      <w:pPr>
        <w:spacing w:after="0" w:line="240" w:lineRule="auto"/>
        <w:jc w:val="both"/>
        <w:rPr>
          <w:rFonts w:ascii="Arial" w:eastAsia="SimSun" w:hAnsi="Arial" w:cs="Arial"/>
          <w:color w:val="auto"/>
          <w:sz w:val="20"/>
          <w:szCs w:val="20"/>
          <w:lang w:val="pl-PL" w:eastAsia="zh-CN"/>
        </w:rPr>
      </w:pPr>
    </w:p>
    <w:p w:rsidR="005046EB" w:rsidRPr="005046EB" w:rsidRDefault="005046EB" w:rsidP="005046EB">
      <w:pPr>
        <w:spacing w:after="0" w:line="240" w:lineRule="auto"/>
        <w:jc w:val="both"/>
        <w:rPr>
          <w:rFonts w:ascii="Arial" w:eastAsia="SimSun" w:hAnsi="Arial" w:cs="Arial"/>
          <w:color w:val="auto"/>
          <w:sz w:val="20"/>
          <w:szCs w:val="20"/>
          <w:lang w:val="pl-PL" w:eastAsia="zh-CN"/>
        </w:rPr>
      </w:pPr>
      <w:r w:rsidRPr="005046EB">
        <w:rPr>
          <w:rFonts w:ascii="Arial" w:eastAsia="SimSun" w:hAnsi="Arial" w:cs="Arial"/>
          <w:color w:val="auto"/>
          <w:sz w:val="20"/>
          <w:szCs w:val="20"/>
          <w:lang w:val="pl-PL" w:eastAsia="zh-CN"/>
        </w:rPr>
        <w:t>Sprawozdanie niniejsze zostało rozpatrzone i przyjęte w drodze uchwały w dniu 20 maja 2021 r. celem przedłożenia Zwyczajnemu Walnemu Zgromadzeniu Banku.</w:t>
      </w:r>
    </w:p>
    <w:p w:rsidR="005046EB" w:rsidRPr="005046EB" w:rsidRDefault="005046EB" w:rsidP="005046EB">
      <w:pPr>
        <w:tabs>
          <w:tab w:val="left" w:pos="-720"/>
          <w:tab w:val="left" w:pos="9000"/>
          <w:tab w:val="right" w:pos="9360"/>
        </w:tabs>
        <w:suppressAutoHyphens/>
        <w:spacing w:after="0" w:line="240" w:lineRule="auto"/>
        <w:jc w:val="both"/>
        <w:rPr>
          <w:rFonts w:ascii="Times New Roman" w:eastAsia="Times New Roman" w:hAnsi="Times New Roman" w:cs="Times New Roman"/>
          <w:color w:val="auto"/>
          <w:spacing w:val="-3"/>
          <w:sz w:val="20"/>
          <w:szCs w:val="20"/>
          <w:highlight w:val="cyan"/>
          <w:lang w:val="pl-PL"/>
        </w:rPr>
      </w:pPr>
    </w:p>
    <w:p w:rsidR="005046EB" w:rsidRPr="005046EB" w:rsidRDefault="005046EB" w:rsidP="005046EB">
      <w:pPr>
        <w:spacing w:after="0" w:line="240" w:lineRule="auto"/>
        <w:rPr>
          <w:rFonts w:ascii="Arial" w:eastAsia="SimSun" w:hAnsi="Arial" w:cs="Arial"/>
          <w:color w:val="auto"/>
          <w:sz w:val="20"/>
          <w:szCs w:val="20"/>
          <w:lang w:val="pl-PL" w:eastAsia="zh-CN"/>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rPr>
          <w:rFonts w:ascii="Times New Roman" w:hAnsi="Times New Roman" w:cs="Times New Roman"/>
          <w:lang w:val="pl-PL"/>
        </w:rPr>
      </w:pPr>
      <w:r w:rsidRPr="005046EB">
        <w:rPr>
          <w:rFonts w:ascii="Times New Roman" w:hAnsi="Times New Roman" w:cs="Times New Roman"/>
          <w:lang w:val="pl-PL"/>
        </w:rPr>
        <w:br w:type="page"/>
      </w:r>
    </w:p>
    <w:p w:rsidR="005046EB" w:rsidRPr="005046EB" w:rsidRDefault="005046EB" w:rsidP="005046EB">
      <w:pPr>
        <w:rPr>
          <w:rFonts w:ascii="Times New Roman" w:hAnsi="Times New Roman" w:cs="Times New Roman"/>
          <w:lang w:val="pl-PL"/>
        </w:rPr>
      </w:pPr>
    </w:p>
    <w:p w:rsidR="005046EB" w:rsidRPr="005046EB" w:rsidRDefault="005046EB" w:rsidP="005046EB">
      <w:pPr>
        <w:spacing w:after="120" w:line="240" w:lineRule="auto"/>
        <w:ind w:left="5050" w:right="-11" w:hanging="10"/>
        <w:jc w:val="both"/>
        <w:rPr>
          <w:rFonts w:ascii="Times New Roman" w:hAnsi="Times New Roman" w:cs="Times New Roman"/>
          <w:lang w:val="pl-PL"/>
        </w:rPr>
      </w:pPr>
      <w:r w:rsidRPr="005046EB">
        <w:rPr>
          <w:rFonts w:ascii="Times New Roman" w:eastAsia="Times New Roman" w:hAnsi="Times New Roman" w:cs="Times New Roman"/>
          <w:i/>
          <w:lang w:val="pl-PL"/>
        </w:rPr>
        <w:t xml:space="preserve">Projekt uchwały do pkt 5 ppkt 6) porządku obrad Zwyczajnego Walnego Zgromadzenia z dnia 17 czerwca 2021 r. </w:t>
      </w:r>
    </w:p>
    <w:p w:rsidR="005046EB" w:rsidRPr="005046EB" w:rsidRDefault="005046EB" w:rsidP="005046EB">
      <w:pPr>
        <w:spacing w:after="120" w:line="240" w:lineRule="auto"/>
        <w:ind w:left="12"/>
        <w:rPr>
          <w:rFonts w:ascii="Times New Roman" w:eastAsia="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UCHWAŁA Nr 15/2021</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Zwyczajnego Walnego Zgromadzenia</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Banku Handlowego w Warszawie Spółka Akcyjna</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z dnia 17 czerwca 2021 r.</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w sprawie opinii do sprawozdania Rady Nadzorczej o wynagrodzeniach członków Zarządu i członków Rady Nadzorczej Banku Handlowego w Warszawie S.A. za lata 2019-2020</w:t>
      </w:r>
    </w:p>
    <w:p w:rsidR="005046EB" w:rsidRPr="005046EB" w:rsidRDefault="005046EB" w:rsidP="005046EB">
      <w:pPr>
        <w:spacing w:after="120" w:line="240" w:lineRule="auto"/>
        <w:ind w:left="12"/>
        <w:rPr>
          <w:rFonts w:ascii="Times New Roman" w:eastAsia="Times New Roman" w:hAnsi="Times New Roman" w:cs="Times New Roman"/>
          <w:lang w:val="pl-PL"/>
        </w:rPr>
      </w:pPr>
    </w:p>
    <w:p w:rsidR="005046EB" w:rsidRPr="005046EB" w:rsidRDefault="005046EB" w:rsidP="005046EB">
      <w:pPr>
        <w:spacing w:after="120" w:line="240" w:lineRule="auto"/>
        <w:ind w:left="12"/>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Na podstawie art. 395 § 2(1) ustawy z dnia 15 września 2000 roku Kodeks spółek handlowych i art. 90g ust. 6 ustawy z dnia 29 lipca 2005 r. o ofercie publicznej i warunkach wprowadzania instrumentów finansowych do zorganizowanego systemu obrotu oraz o spółkach publicznych Zwyczajne Walne Zgromadzenie pozytywnie opiniuje przedstawione przez Radę Nadzorczą sprawozdanie o wynagrodzeniach członków Zarządu i członków Rady Nadzorczej Banku Handlowego w Warszawie S.A. za lata 2019-2020.</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5050" w:right="-11" w:hanging="10"/>
        <w:jc w:val="both"/>
        <w:rPr>
          <w:rFonts w:ascii="Times New Roman" w:hAnsi="Times New Roman" w:cs="Times New Roman"/>
          <w:lang w:val="pl-PL"/>
        </w:rPr>
      </w:pPr>
      <w:r w:rsidRPr="005046EB">
        <w:rPr>
          <w:rFonts w:ascii="Times New Roman" w:eastAsia="Times New Roman" w:hAnsi="Times New Roman" w:cs="Times New Roman"/>
          <w:i/>
          <w:lang w:val="pl-PL"/>
        </w:rPr>
        <w:t xml:space="preserve">Projekty uchwał do pkt 5 ppkt 7) porządku obrad Zwyczajnego Walnego Zgromadzenia z dnia 17 czerwca 2021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16/2021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hAnsi="Times New Roman" w:cs="Times New Roman"/>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r w:rsidRPr="005046EB">
        <w:rPr>
          <w:rFonts w:ascii="Times New Roman" w:eastAsia="Times New Roman" w:hAnsi="Times New Roman" w:cs="Times New Roman"/>
          <w:lang w:val="pl-PL"/>
        </w:rPr>
        <w:t xml:space="preserve"> </w:t>
      </w: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Przewodniczącemu Rady Nadzorczej Banku Handlowego w Warszawie S.A. Panu Andrzejowi Olechowskiemu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17/2021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Wiceprzewodniczącemu Rady Nadzorczej Banku Handlowego w Warszawie S.A. Panu Frank Mannion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18/2021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lastRenderedPageBreak/>
        <w:t xml:space="preserve">Na podstawie art. 395 § 2 pkt 3) Kodeksu spółek handlowych i § 9 ust. 1 pkt. 3 Statutu Banku Zwyczajne Walne Zgromadzenie udziela Członkowi Rady Nadzorczej Banku Handlowego w Warszawie S.A. Pani Kristine Braden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19/2021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Igorowi Chalupcowi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20/2021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lastRenderedPageBreak/>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Pani Jenny Grey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21/2021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Markowi Kapuścińskiemu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22/2021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lastRenderedPageBreak/>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Gonzalo Luchetti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23/2021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Pani Annie Rulkiewicz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24/2021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Pani Barbarze Smalskiej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25/2021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Stanisławowi Sołtysińskiemu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lastRenderedPageBreak/>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26/2021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Zdenek Turek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27/2021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Stephen R. Volk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lastRenderedPageBreak/>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223F2E">
      <w:pPr>
        <w:spacing w:after="120" w:line="240" w:lineRule="auto"/>
        <w:ind w:right="-1"/>
        <w:rPr>
          <w:rFonts w:ascii="Times New Roman" w:eastAsia="Times New Roman" w:hAnsi="Times New Roman" w:cs="Times New Roman"/>
          <w:b/>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28/2021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udzielenia członkowi Rady Nadzorczej Banku absolutorium z wykonania obowiązków w 2020 r. </w:t>
      </w:r>
    </w:p>
    <w:p w:rsidR="005046EB" w:rsidRPr="005046EB" w:rsidRDefault="005046EB" w:rsidP="005046EB">
      <w:pPr>
        <w:spacing w:after="120" w:line="240" w:lineRule="auto"/>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hAnsi="Times New Roman" w:cs="Times New Roman"/>
          <w:lang w:val="pl-PL"/>
        </w:rPr>
      </w:pPr>
      <w:r w:rsidRPr="005046EB">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Shirish Apte absolutorium z wykonania obowiązków w 2020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5050" w:right="-11" w:hanging="10"/>
        <w:jc w:val="both"/>
        <w:rPr>
          <w:rFonts w:ascii="Times New Roman" w:hAnsi="Times New Roman" w:cs="Times New Roman"/>
          <w:lang w:val="pl-PL"/>
        </w:rPr>
      </w:pPr>
      <w:r w:rsidRPr="005046EB">
        <w:rPr>
          <w:rFonts w:ascii="Times New Roman" w:eastAsia="Times New Roman" w:hAnsi="Times New Roman" w:cs="Times New Roman"/>
          <w:i/>
          <w:lang w:val="pl-PL"/>
        </w:rPr>
        <w:t xml:space="preserve">Projekty uchwał do pkt 5 ppkt 8)-9) porządku obrad Zwyczajnego Walnego Zgromadzenia z dnia 17 czerwca 2021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jc w:val="both"/>
        <w:rPr>
          <w:rFonts w:ascii="Times New Roman" w:hAnsi="Times New Roman" w:cs="Times New Roman"/>
          <w:lang w:val="pl-PL"/>
        </w:rPr>
      </w:pPr>
      <w:r w:rsidRPr="005046EB">
        <w:rPr>
          <w:rFonts w:ascii="Times New Roman" w:hAnsi="Times New Roman" w:cs="Times New Roman"/>
          <w:lang w:val="pl-PL"/>
        </w:rPr>
        <w:t xml:space="preserve">Na dzień zwołania Zwyczajnego Walnego Zgromadzenia, Bank podtrzymuje swoje stanowisko wyrażone w uchwale z dnia 19 stycznia 2021 r., w której potwierdził przyjęcie do realizacji, w zakresie wynikającym z kompetencji Zarządu Banku, zalecenia Komisji Nadzoru Finansowego wyrażonego w piśmie z dnia 13 stycznia 2021 r., tzn. wstrzymanie przez Bank wypłaty dywidendy w pierwszym półroczu 2021 roku (w tym także niepodzielonego zysku z lat ubiegłych) oraz niepodejmowanie przez Bank w pierwszym półroczu 2021 </w:t>
      </w:r>
      <w:r w:rsidRPr="005046EB">
        <w:rPr>
          <w:rFonts w:ascii="Times New Roman" w:hAnsi="Times New Roman" w:cs="Times New Roman"/>
          <w:lang w:val="pl-PL"/>
        </w:rPr>
        <w:lastRenderedPageBreak/>
        <w:t>roku, bez uprzedniej konsultacji z organem nadzoru, innych działań pozostających poza zakresem bieżącej działalności biznesowej i operacyjnej, mogących skutkować obniżeniem bazy kapitałowej.</w:t>
      </w:r>
    </w:p>
    <w:p w:rsidR="005046EB" w:rsidRPr="005046EB" w:rsidRDefault="005046EB" w:rsidP="005046EB">
      <w:pPr>
        <w:spacing w:after="120" w:line="240" w:lineRule="auto"/>
        <w:ind w:left="12"/>
        <w:jc w:val="both"/>
        <w:rPr>
          <w:rFonts w:ascii="Times New Roman" w:eastAsia="Times New Roman" w:hAnsi="Times New Roman" w:cs="Times New Roman"/>
          <w:lang w:val="pl-PL"/>
        </w:rPr>
      </w:pPr>
      <w:r w:rsidRPr="005046EB">
        <w:rPr>
          <w:rFonts w:ascii="Times New Roman" w:hAnsi="Times New Roman" w:cs="Times New Roman"/>
          <w:lang w:val="pl-PL"/>
        </w:rPr>
        <w:t>Jednocześnie, Bank przeprowadzi konsultacje z Komisją Nadzoru Finansowego, celem ustalenia możliwości wypłaty zysku za rok 2020 (lub jego części) oraz niepodzielonych zysków z lat ubiegłych. Dlatego też, d</w:t>
      </w:r>
      <w:r w:rsidRPr="005046EB">
        <w:rPr>
          <w:rFonts w:ascii="Times New Roman" w:eastAsia="Times New Roman" w:hAnsi="Times New Roman" w:cs="Times New Roman"/>
          <w:lang w:val="pl-PL"/>
        </w:rPr>
        <w:t>okładna proporcja pomiędzy kwotami z pkt. 1) – 3) poniższych projektów uchwał (nr 29/2021 oraz nr 30/2021) zostanie ogłoszona najpóźniej w dnia 16 czerwca 2021 r. po uzyskaniu stanowiska Komisji Nadzoru Finansowego.</w:t>
      </w:r>
    </w:p>
    <w:p w:rsidR="005046EB" w:rsidRPr="005046EB" w:rsidRDefault="005046EB" w:rsidP="005046EB">
      <w:pPr>
        <w:spacing w:after="120" w:line="240" w:lineRule="auto"/>
        <w:ind w:left="12"/>
        <w:jc w:val="both"/>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29/2021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podziału zysku netto za 2020 r. </w:t>
      </w:r>
    </w:p>
    <w:p w:rsidR="005046EB" w:rsidRPr="005046EB" w:rsidRDefault="005046EB" w:rsidP="005046EB">
      <w:pPr>
        <w:spacing w:after="120" w:line="240" w:lineRule="auto"/>
        <w:ind w:left="12"/>
        <w:rPr>
          <w:rFonts w:ascii="Times New Roman" w:hAnsi="Times New Roman" w:cs="Times New Roman"/>
          <w:lang w:val="pl-PL"/>
        </w:rPr>
      </w:pPr>
      <w:r w:rsidRPr="005046EB">
        <w:rPr>
          <w:rFonts w:ascii="Times New Roman" w:eastAsia="Times New Roman" w:hAnsi="Times New Roman" w:cs="Times New Roman"/>
          <w:lang w:val="pl-PL"/>
        </w:rPr>
        <w:t xml:space="preserve"> </w:t>
      </w: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 xml:space="preserve">Na podstawie art. 395 § 2 pkt 2) Kodeksu spółek handlowych i § 9 ust. 1 pkt. 2 Statutu Banku Zwyczajne Walne Zgromadzenie Banku Handlowego w Warszawie S.A. postanawia: </w:t>
      </w:r>
    </w:p>
    <w:p w:rsidR="005046EB" w:rsidRPr="005046EB" w:rsidRDefault="005046EB" w:rsidP="00223F2E">
      <w:pPr>
        <w:numPr>
          <w:ilvl w:val="0"/>
          <w:numId w:val="8"/>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Zysk netto Banku za 2020 rok w kwocie 158.085.123,29 zł podzielić w następujący sposób:</w:t>
      </w:r>
    </w:p>
    <w:p w:rsidR="005046EB" w:rsidRPr="005046EB" w:rsidRDefault="005046EB" w:rsidP="00223F2E">
      <w:pPr>
        <w:numPr>
          <w:ilvl w:val="0"/>
          <w:numId w:val="7"/>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dywidenda dla akcjonariuszy [</w:t>
      </w:r>
      <w:r w:rsidRPr="005046EB">
        <w:rPr>
          <w:rFonts w:ascii="Times New Roman" w:eastAsia="Times New Roman" w:hAnsi="Times New Roman" w:cs="Times New Roman"/>
          <w:b/>
          <w:lang w:val="pl-PL"/>
        </w:rPr>
        <w:t>•</w:t>
      </w:r>
      <w:r w:rsidRPr="005046EB">
        <w:rPr>
          <w:rFonts w:ascii="Times New Roman" w:eastAsia="Times New Roman" w:hAnsi="Times New Roman" w:cs="Times New Roman"/>
          <w:lang w:val="pl-PL"/>
        </w:rPr>
        <w:t>] zł, co oznacza, iż kwota dywidendy przypadająca na jedną akcję zwykłą wynosi [</w:t>
      </w:r>
      <w:r w:rsidRPr="005046EB">
        <w:rPr>
          <w:rFonts w:ascii="Times New Roman" w:eastAsia="Times New Roman" w:hAnsi="Times New Roman" w:cs="Times New Roman"/>
          <w:b/>
          <w:lang w:val="pl-PL"/>
        </w:rPr>
        <w:t>•</w:t>
      </w:r>
      <w:r w:rsidRPr="005046EB">
        <w:rPr>
          <w:rFonts w:ascii="Times New Roman" w:eastAsia="Times New Roman" w:hAnsi="Times New Roman" w:cs="Times New Roman"/>
          <w:lang w:val="pl-PL"/>
        </w:rPr>
        <w:t>];</w:t>
      </w:r>
    </w:p>
    <w:p w:rsidR="005046EB" w:rsidRPr="005046EB" w:rsidRDefault="005046EB" w:rsidP="00223F2E">
      <w:pPr>
        <w:numPr>
          <w:ilvl w:val="0"/>
          <w:numId w:val="7"/>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odpis na kapitał rezerwowy [</w:t>
      </w:r>
      <w:r w:rsidRPr="005046EB">
        <w:rPr>
          <w:rFonts w:ascii="Times New Roman" w:eastAsia="Times New Roman" w:hAnsi="Times New Roman" w:cs="Times New Roman"/>
          <w:b/>
          <w:lang w:val="pl-PL"/>
        </w:rPr>
        <w:t>•</w:t>
      </w:r>
      <w:r w:rsidRPr="005046EB">
        <w:rPr>
          <w:rFonts w:ascii="Times New Roman" w:eastAsia="Times New Roman" w:hAnsi="Times New Roman" w:cs="Times New Roman"/>
          <w:lang w:val="pl-PL"/>
        </w:rPr>
        <w:t>]; oraz</w:t>
      </w:r>
    </w:p>
    <w:p w:rsidR="005046EB" w:rsidRPr="005046EB" w:rsidRDefault="005046EB" w:rsidP="00223F2E">
      <w:pPr>
        <w:numPr>
          <w:ilvl w:val="0"/>
          <w:numId w:val="7"/>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kwotę [</w:t>
      </w:r>
      <w:r w:rsidRPr="005046EB">
        <w:rPr>
          <w:rFonts w:ascii="Times New Roman" w:eastAsia="Times New Roman" w:hAnsi="Times New Roman" w:cs="Times New Roman"/>
          <w:b/>
          <w:lang w:val="pl-PL"/>
        </w:rPr>
        <w:t>•</w:t>
      </w:r>
      <w:r w:rsidRPr="005046EB">
        <w:rPr>
          <w:rFonts w:ascii="Times New Roman" w:eastAsia="Times New Roman" w:hAnsi="Times New Roman" w:cs="Times New Roman"/>
          <w:lang w:val="pl-PL"/>
        </w:rPr>
        <w:t>] pozostawić niepodzieloną.</w:t>
      </w:r>
    </w:p>
    <w:p w:rsidR="005046EB" w:rsidRDefault="005046EB" w:rsidP="00223F2E">
      <w:pPr>
        <w:numPr>
          <w:ilvl w:val="0"/>
          <w:numId w:val="8"/>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Ustalić dzień dywidendy na dzień [</w:t>
      </w:r>
      <w:r w:rsidRPr="005046EB">
        <w:rPr>
          <w:rFonts w:ascii="Times New Roman" w:eastAsia="Times New Roman" w:hAnsi="Times New Roman" w:cs="Times New Roman"/>
          <w:b/>
          <w:lang w:val="pl-PL"/>
        </w:rPr>
        <w:t>•</w:t>
      </w:r>
      <w:r w:rsidRPr="005046EB">
        <w:rPr>
          <w:rFonts w:ascii="Times New Roman" w:eastAsia="Times New Roman" w:hAnsi="Times New Roman" w:cs="Times New Roman"/>
          <w:lang w:val="pl-PL"/>
        </w:rPr>
        <w:t>] 2021 roku (dzień dywidendy) oraz terminu wypłaty dywidendy na dzień [</w:t>
      </w:r>
      <w:r w:rsidRPr="005046EB">
        <w:rPr>
          <w:rFonts w:ascii="Times New Roman" w:eastAsia="Times New Roman" w:hAnsi="Times New Roman" w:cs="Times New Roman"/>
          <w:b/>
          <w:lang w:val="pl-PL"/>
        </w:rPr>
        <w:t>•</w:t>
      </w:r>
      <w:r w:rsidRPr="005046EB">
        <w:rPr>
          <w:rFonts w:ascii="Times New Roman" w:eastAsia="Times New Roman" w:hAnsi="Times New Roman" w:cs="Times New Roman"/>
          <w:lang w:val="pl-PL"/>
        </w:rPr>
        <w:t>] 2021 r</w:t>
      </w:r>
      <w:r w:rsidR="00223F2E">
        <w:rPr>
          <w:rFonts w:ascii="Times New Roman" w:eastAsia="Times New Roman" w:hAnsi="Times New Roman" w:cs="Times New Roman"/>
          <w:lang w:val="pl-PL"/>
        </w:rPr>
        <w:t>oku (termin wypłaty dywidendy).</w:t>
      </w:r>
    </w:p>
    <w:p w:rsidR="00223F2E" w:rsidRPr="00223F2E" w:rsidRDefault="00223F2E" w:rsidP="00223F2E">
      <w:pPr>
        <w:pStyle w:val="ListParagraph"/>
        <w:spacing w:after="120" w:line="240" w:lineRule="auto"/>
        <w:ind w:left="38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223F2E" w:rsidRDefault="00223F2E" w:rsidP="00223F2E">
      <w:pPr>
        <w:spacing w:after="120" w:line="240" w:lineRule="auto"/>
        <w:rPr>
          <w:rFonts w:ascii="Times New Roman" w:hAnsi="Times New Roman" w:cs="Times New Roman"/>
          <w:lang w:val="pl-PL"/>
        </w:rPr>
      </w:pPr>
    </w:p>
    <w:p w:rsidR="00223F2E" w:rsidRPr="005046EB" w:rsidRDefault="00223F2E" w:rsidP="00223F2E">
      <w:pPr>
        <w:spacing w:after="120" w:line="240" w:lineRule="auto"/>
        <w:jc w:val="both"/>
        <w:rPr>
          <w:rFonts w:ascii="Times New Roman" w:eastAsia="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30/2021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w sprawie podziału niepodzielonego zysku netto za 2019 r.</w:t>
      </w:r>
    </w:p>
    <w:p w:rsidR="005046EB" w:rsidRPr="005046EB" w:rsidRDefault="005046EB" w:rsidP="005046EB">
      <w:pPr>
        <w:spacing w:after="120" w:line="240" w:lineRule="auto"/>
        <w:ind w:left="63"/>
        <w:rPr>
          <w:rFonts w:ascii="Times New Roman" w:hAnsi="Times New Roman" w:cs="Times New Roman"/>
          <w:lang w:val="pl-PL"/>
        </w:rPr>
      </w:pP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lastRenderedPageBreak/>
        <w:t xml:space="preserve">Na podstawie art. 395 § 2 pkt 2) Kodeksu spółek handlowych i § 9 ust. 1 pkt. 2 Statutu Banku Zwyczajne Walne Zgromadzenie Banku Handlowego w Warszawie S.A. postanawia: </w:t>
      </w:r>
    </w:p>
    <w:p w:rsidR="005046EB" w:rsidRPr="005046EB" w:rsidRDefault="005046EB" w:rsidP="00223F2E">
      <w:pPr>
        <w:numPr>
          <w:ilvl w:val="0"/>
          <w:numId w:val="10"/>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Niepodzielony zysk netto Banku za 2019 rok w kwocie 478.802.436,53 zł podzielić w następujący sposób:</w:t>
      </w:r>
    </w:p>
    <w:p w:rsidR="005046EB" w:rsidRPr="005046EB" w:rsidRDefault="005046EB" w:rsidP="00223F2E">
      <w:pPr>
        <w:numPr>
          <w:ilvl w:val="0"/>
          <w:numId w:val="9"/>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dywidenda dla akcjonariuszy [•] zł, co oznacza, iż kwota dywidendy przypadająca na jedną akcję zwykłą wynosi [•];</w:t>
      </w:r>
    </w:p>
    <w:p w:rsidR="005046EB" w:rsidRPr="005046EB" w:rsidRDefault="005046EB" w:rsidP="00223F2E">
      <w:pPr>
        <w:numPr>
          <w:ilvl w:val="0"/>
          <w:numId w:val="9"/>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odpis na kapitał rezerwowy [•]; oraz</w:t>
      </w:r>
    </w:p>
    <w:p w:rsidR="005046EB" w:rsidRPr="005046EB" w:rsidRDefault="005046EB" w:rsidP="00223F2E">
      <w:pPr>
        <w:numPr>
          <w:ilvl w:val="0"/>
          <w:numId w:val="9"/>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kwotę [•] pozostawić niepodzieloną.</w:t>
      </w:r>
    </w:p>
    <w:p w:rsidR="00223F2E" w:rsidRPr="00223F2E" w:rsidRDefault="005046EB" w:rsidP="00223F2E">
      <w:pPr>
        <w:numPr>
          <w:ilvl w:val="0"/>
          <w:numId w:val="10"/>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Ustalić dzień dywidendy na dzień [•] 2021 roku (dzień dywidendy) oraz terminu wypłaty dywidendy na dzień [•] 2021 roku (termin wypłaty dywidendy).</w:t>
      </w:r>
      <w:r w:rsidRPr="005046EB">
        <w:rPr>
          <w:rFonts w:ascii="Times New Roman" w:eastAsia="Times New Roman" w:hAnsi="Times New Roman" w:cs="Times New Roman"/>
          <w:lang w:val="pl-PL"/>
        </w:rPr>
        <w:cr/>
      </w: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223F2E" w:rsidRDefault="00223F2E" w:rsidP="00223F2E">
      <w:pPr>
        <w:spacing w:after="120" w:line="240" w:lineRule="auto"/>
        <w:rPr>
          <w:rFonts w:ascii="Times New Roman" w:hAnsi="Times New Roman" w:cs="Times New Roman"/>
          <w:lang w:val="pl-PL"/>
        </w:rPr>
      </w:pPr>
    </w:p>
    <w:p w:rsidR="005046EB" w:rsidRPr="005046EB" w:rsidRDefault="005046EB" w:rsidP="005046EB">
      <w:pPr>
        <w:rPr>
          <w:rFonts w:ascii="Times New Roman" w:eastAsia="Times New Roman" w:hAnsi="Times New Roman" w:cs="Times New Roman"/>
          <w:i/>
          <w:lang w:val="pl-PL"/>
        </w:rPr>
      </w:pPr>
    </w:p>
    <w:p w:rsidR="005046EB" w:rsidRPr="005046EB" w:rsidRDefault="005046EB" w:rsidP="005046EB">
      <w:pPr>
        <w:spacing w:after="120" w:line="240" w:lineRule="auto"/>
        <w:ind w:left="5050" w:right="-11" w:hanging="10"/>
        <w:jc w:val="both"/>
        <w:rPr>
          <w:rFonts w:ascii="Times New Roman" w:hAnsi="Times New Roman" w:cs="Times New Roman"/>
          <w:lang w:val="pl-PL"/>
        </w:rPr>
      </w:pPr>
      <w:r w:rsidRPr="005046EB">
        <w:rPr>
          <w:rFonts w:ascii="Times New Roman" w:eastAsia="Times New Roman" w:hAnsi="Times New Roman" w:cs="Times New Roman"/>
          <w:i/>
          <w:lang w:val="pl-PL"/>
        </w:rPr>
        <w:t xml:space="preserve">Projekty uchwał do pkt 5 ppkt 10) porządku obrad Zwyczajnego Walnego Zgromadzenia z dnia 17 czerwca 2021 r. </w:t>
      </w:r>
    </w:p>
    <w:p w:rsidR="005046EB" w:rsidRPr="005046EB" w:rsidRDefault="005046EB" w:rsidP="005046EB">
      <w:pPr>
        <w:spacing w:after="120" w:line="240" w:lineRule="auto"/>
        <w:ind w:left="12"/>
        <w:jc w:val="both"/>
        <w:rPr>
          <w:rFonts w:ascii="Times New Roman" w:eastAsia="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31/2021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w sprawie ustalenia liczby członków Rady Nadzorczej Banku </w:t>
      </w:r>
    </w:p>
    <w:p w:rsidR="005046EB" w:rsidRPr="005046EB" w:rsidRDefault="005046EB" w:rsidP="005046EB">
      <w:pPr>
        <w:spacing w:after="120" w:line="240" w:lineRule="auto"/>
        <w:jc w:val="both"/>
        <w:rPr>
          <w:rFonts w:ascii="Times New Roman" w:hAnsi="Times New Roman" w:cs="Times New Roman"/>
          <w:bCs/>
          <w:lang w:val="pl-PL"/>
        </w:rPr>
      </w:pPr>
    </w:p>
    <w:p w:rsidR="005046EB" w:rsidRPr="005046EB" w:rsidRDefault="005046EB" w:rsidP="005046EB">
      <w:pPr>
        <w:spacing w:after="120" w:line="240" w:lineRule="auto"/>
        <w:ind w:left="12"/>
        <w:jc w:val="center"/>
        <w:rPr>
          <w:rFonts w:ascii="Times New Roman" w:hAnsi="Times New Roman" w:cs="Times New Roman"/>
          <w:lang w:val="pl-PL"/>
        </w:rPr>
      </w:pPr>
      <w:r w:rsidRPr="005046EB">
        <w:rPr>
          <w:rFonts w:ascii="Times New Roman" w:hAnsi="Times New Roman" w:cs="Times New Roman"/>
          <w:lang w:val="pl-PL"/>
        </w:rPr>
        <w:t>§ 1</w:t>
      </w:r>
    </w:p>
    <w:p w:rsidR="005046EB" w:rsidRPr="005046EB" w:rsidRDefault="005046EB" w:rsidP="005046EB">
      <w:pPr>
        <w:spacing w:after="120" w:line="240" w:lineRule="auto"/>
        <w:ind w:left="12"/>
        <w:jc w:val="both"/>
        <w:rPr>
          <w:rFonts w:ascii="Times New Roman" w:hAnsi="Times New Roman" w:cs="Times New Roman"/>
          <w:lang w:val="pl-PL"/>
        </w:rPr>
      </w:pPr>
      <w:r w:rsidRPr="005046EB">
        <w:rPr>
          <w:rFonts w:ascii="Times New Roman" w:hAnsi="Times New Roman" w:cs="Times New Roman"/>
          <w:lang w:val="pl-PL"/>
        </w:rPr>
        <w:t>Zwyczajne Walne Zgromadzenie, działając  na podstawie § 14 ust.2 Statutu Banku, ustala liczbę członków Rady Nadzorczej Banku na maksymalnie … osób.</w:t>
      </w:r>
    </w:p>
    <w:p w:rsidR="005046EB" w:rsidRPr="005046EB" w:rsidRDefault="005046EB" w:rsidP="005046EB">
      <w:pPr>
        <w:spacing w:after="120" w:line="240" w:lineRule="auto"/>
        <w:ind w:left="12"/>
        <w:jc w:val="center"/>
        <w:rPr>
          <w:rFonts w:ascii="Times New Roman" w:hAnsi="Times New Roman" w:cs="Times New Roman"/>
          <w:lang w:val="pl-PL"/>
        </w:rPr>
      </w:pPr>
      <w:r w:rsidRPr="005046EB">
        <w:rPr>
          <w:rFonts w:ascii="Times New Roman" w:hAnsi="Times New Roman" w:cs="Times New Roman"/>
          <w:lang w:val="pl-PL"/>
        </w:rPr>
        <w:t>§ 2</w:t>
      </w:r>
    </w:p>
    <w:p w:rsidR="005046EB" w:rsidRPr="005046EB" w:rsidRDefault="005046EB" w:rsidP="005046EB">
      <w:pPr>
        <w:spacing w:after="120" w:line="240" w:lineRule="auto"/>
        <w:jc w:val="both"/>
        <w:rPr>
          <w:rFonts w:ascii="Times New Roman" w:hAnsi="Times New Roman" w:cs="Times New Roman"/>
          <w:lang w:val="pl-PL"/>
        </w:rPr>
      </w:pPr>
      <w:r w:rsidRPr="005046EB">
        <w:rPr>
          <w:rFonts w:ascii="Times New Roman" w:hAnsi="Times New Roman" w:cs="Times New Roman"/>
          <w:lang w:val="pl-PL"/>
        </w:rPr>
        <w:t xml:space="preserve">Traci moc uchwała nr 6 Nadzwyczajnego Walnego Zgromadzenia Banku Handlowego w Warszawie S.A. z dnia 5 grudnia 2006 r. </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lastRenderedPageBreak/>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32/2021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w sprawie powołania członka Rady Nadzorczej Banku na nową kadencję</w:t>
      </w:r>
    </w:p>
    <w:p w:rsidR="005046EB" w:rsidRPr="005046EB" w:rsidRDefault="005046EB" w:rsidP="005046EB">
      <w:pPr>
        <w:spacing w:after="120" w:line="240" w:lineRule="auto"/>
        <w:jc w:val="both"/>
        <w:rPr>
          <w:rFonts w:ascii="Times New Roman" w:hAnsi="Times New Roman" w:cs="Times New Roman"/>
          <w:bCs/>
          <w:lang w:val="pl-PL"/>
        </w:rPr>
      </w:pPr>
    </w:p>
    <w:p w:rsidR="005046EB" w:rsidRPr="005046EB" w:rsidRDefault="005046EB" w:rsidP="005046EB">
      <w:p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Zwyczajne Walne Zgromadzenie Banku działając w związku z treścią art. 22aa Prawa Bankowego oraz treścią Polityki oceny kwalifikacji członków Rady Nadzorczej w Banku Handlowym w Warszawie S.A., a także biorąc pod uwagę wstępną ocenę kwalifikacji oraz rekomendację Komitetu ds. Nominacji i Wynagrodzeń Rady Nadzorczej Banku ocenia, że Pan/Pani …….. spełnia wymogi określone w art. 22aa Prawa Bankowego</w:t>
      </w:r>
    </w:p>
    <w:p w:rsidR="005046EB" w:rsidRPr="005046EB" w:rsidRDefault="005046EB" w:rsidP="005046EB">
      <w:p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 xml:space="preserve">a także ocenia, że Pan/Pani …….. posiada kwalifikacje kolektywne odpowiednie z punktu widzenia potrzeby zapewnienia prawidłowości realizacji zadań przez Radę Nadzorczą Banku jako całości  </w:t>
      </w:r>
    </w:p>
    <w:p w:rsidR="005046EB" w:rsidRPr="005046EB" w:rsidRDefault="005046EB" w:rsidP="005046EB">
      <w:p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 xml:space="preserve">w związku z czym, działając na podstawie § 9 ust. 2 pkt 7) w związku z § 14 ust. 1 Statutu Banku Zwyczajne Walne Zgromadzenie Banku z dniem 18 czerwca 2021 r. powołuje Pana/Panią …….. na członka Rady Nadzorczej Banku na wspólną kadencję wynoszącą trzy lata. </w:t>
      </w:r>
    </w:p>
    <w:p w:rsidR="005046EB" w:rsidRPr="005046EB" w:rsidRDefault="005046EB" w:rsidP="005046EB">
      <w:pPr>
        <w:spacing w:after="120" w:line="240" w:lineRule="auto"/>
        <w:jc w:val="both"/>
        <w:rPr>
          <w:rFonts w:ascii="Times New Roman" w:eastAsia="Times New Roman" w:hAnsi="Times New Roman" w:cs="Times New Roman"/>
          <w:lang w:val="pl-PL"/>
        </w:rPr>
      </w:pP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223F2E" w:rsidRPr="00070ADB" w:rsidRDefault="00223F2E" w:rsidP="00223F2E">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left="5050" w:right="-11" w:hanging="10"/>
        <w:jc w:val="both"/>
        <w:rPr>
          <w:rFonts w:ascii="Times New Roman" w:hAnsi="Times New Roman" w:cs="Times New Roman"/>
          <w:lang w:val="pl-PL"/>
        </w:rPr>
      </w:pPr>
      <w:r w:rsidRPr="005046EB">
        <w:rPr>
          <w:rFonts w:ascii="Times New Roman" w:eastAsia="Times New Roman" w:hAnsi="Times New Roman" w:cs="Times New Roman"/>
          <w:i/>
          <w:lang w:val="pl-PL"/>
        </w:rPr>
        <w:t xml:space="preserve">Projekt uchwały do pkt 5 ppkt 11) porządku obrad Zwyczajnego Walnego Zgromadzenia z dnia 17 czerwca 2021 r. </w:t>
      </w:r>
    </w:p>
    <w:p w:rsidR="005046EB" w:rsidRPr="005046EB" w:rsidRDefault="005046EB" w:rsidP="005046EB">
      <w:pPr>
        <w:spacing w:after="120" w:line="240" w:lineRule="auto"/>
        <w:ind w:left="12"/>
        <w:rPr>
          <w:rFonts w:ascii="Times New Roman" w:hAnsi="Times New Roman" w:cs="Times New Roman"/>
          <w:lang w:val="pl-PL"/>
        </w:rPr>
      </w:pP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UCHWAŁA Nr 33/2021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Zwyczajnego Walnego Zgromadzenia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Banku Handlowego w Warszawie Spółka Akcyjna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 xml:space="preserve">z dnia 17 czerwca 2021 r. </w:t>
      </w:r>
    </w:p>
    <w:p w:rsidR="005046EB" w:rsidRPr="005046EB" w:rsidRDefault="005046EB" w:rsidP="005046EB">
      <w:pPr>
        <w:spacing w:after="120" w:line="240" w:lineRule="auto"/>
        <w:ind w:right="-1"/>
        <w:jc w:val="center"/>
        <w:rPr>
          <w:rFonts w:ascii="Times New Roman" w:eastAsia="Times New Roman" w:hAnsi="Times New Roman" w:cs="Times New Roman"/>
          <w:b/>
          <w:lang w:val="pl-PL"/>
        </w:rPr>
      </w:pPr>
      <w:r w:rsidRPr="005046EB">
        <w:rPr>
          <w:rFonts w:ascii="Times New Roman" w:eastAsia="Times New Roman" w:hAnsi="Times New Roman" w:cs="Times New Roman"/>
          <w:b/>
          <w:lang w:val="pl-PL"/>
        </w:rPr>
        <w:t>w sprawie zmiany Statutu Banku Handlowego w Warszawie Spółka Akcyjna</w:t>
      </w: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p>
    <w:p w:rsidR="005046EB" w:rsidRPr="005046EB" w:rsidRDefault="005046EB" w:rsidP="005046EB">
      <w:pPr>
        <w:spacing w:after="120" w:line="240" w:lineRule="auto"/>
        <w:ind w:left="22" w:hanging="10"/>
        <w:jc w:val="center"/>
        <w:rPr>
          <w:rFonts w:ascii="Times New Roman" w:eastAsia="Times New Roman" w:hAnsi="Times New Roman" w:cs="Times New Roman"/>
          <w:lang w:val="pl-PL"/>
        </w:rPr>
      </w:pPr>
      <w:r w:rsidRPr="005046EB">
        <w:rPr>
          <w:rFonts w:ascii="Times New Roman" w:eastAsia="Times New Roman" w:hAnsi="Times New Roman" w:cs="Times New Roman"/>
          <w:lang w:val="pl-PL"/>
        </w:rPr>
        <w:t>§ 1</w:t>
      </w: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Zwyczajne Walne Zgromadzenie, działając na podstawie § 9 ust. 2 pkt 2 Statutu Banku Handlowego w Warszawie Spółka Akcyjna i art. 430 § 1 Kodeksu spółek handlowych, postanawia, co następuje:</w:t>
      </w:r>
    </w:p>
    <w:p w:rsidR="005046EB" w:rsidRPr="005046EB" w:rsidRDefault="005046EB" w:rsidP="00223F2E">
      <w:pPr>
        <w:numPr>
          <w:ilvl w:val="0"/>
          <w:numId w:val="5"/>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W paragrafie 16 ustęp 2 Statutu Banku Handlowego w Warszawie Spółka Akcyjna otrzymuje następujące brzmienie:</w:t>
      </w:r>
    </w:p>
    <w:p w:rsidR="005046EB" w:rsidRPr="005046EB" w:rsidRDefault="005046EB" w:rsidP="005046EB">
      <w:pPr>
        <w:spacing w:after="120" w:line="240" w:lineRule="auto"/>
        <w:ind w:left="742" w:hanging="360"/>
        <w:jc w:val="both"/>
        <w:rPr>
          <w:rFonts w:ascii="Times New Roman" w:eastAsia="Times New Roman" w:hAnsi="Times New Roman" w:cs="Times New Roman"/>
          <w:lang w:val="pl-PL"/>
        </w:rPr>
      </w:pPr>
      <w:r w:rsidRPr="005046EB">
        <w:rPr>
          <w:rFonts w:ascii="Times New Roman" w:eastAsia="Times New Roman" w:hAnsi="Times New Roman" w:cs="Times New Roman"/>
          <w:i/>
          <w:lang w:val="pl-PL"/>
        </w:rPr>
        <w:t>2.</w:t>
      </w:r>
      <w:r w:rsidRPr="005046EB">
        <w:rPr>
          <w:rFonts w:ascii="Times New Roman" w:eastAsia="Times New Roman" w:hAnsi="Times New Roman" w:cs="Times New Roman"/>
          <w:i/>
          <w:lang w:val="pl-PL"/>
        </w:rPr>
        <w:tab/>
        <w:t>Rada Nadzorcza uchwala swój regulamin, który szczegółowo określa tryb jej działania oraz informuje Walne Zgromadzenie o uchwalonym regulaminie.</w:t>
      </w:r>
    </w:p>
    <w:p w:rsidR="005046EB" w:rsidRPr="005046EB" w:rsidRDefault="005046EB" w:rsidP="00223F2E">
      <w:pPr>
        <w:numPr>
          <w:ilvl w:val="0"/>
          <w:numId w:val="5"/>
        </w:numPr>
        <w:spacing w:after="120" w:line="240" w:lineRule="auto"/>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W paragrafie 18 w ustępie 1 Statutu Banku Handlowego w Warszawie Spółka Akcyjna dodaje się punkty 36)-43) w następującym brzmieniu:</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 xml:space="preserve">zatwierdzanie przyjętych przez Zarząd ogólnych zasad wprowadzania zmian w strukturze organizacyjnej, </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 xml:space="preserve">zatwierdzanie opracowanej przez Zarząd, polityki identyfikowania kluczowych funkcji w Banku obejmującej zasady powoływania i odwoływania osób pełniących te funkcje, </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 xml:space="preserve">zatwierdzanie przyjętych przez Zarząd, zasad etyki określających normy i standardy etyczne postępowania członków organów i pracowników Banku, jak również innych osób, za pośrednictwem których Bank prowadzi swoją działalność, </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 xml:space="preserve">zatwierdzanie opracowanej przez Zarząd, polityki zarządzania konfliktami interesów, </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 xml:space="preserve">zatwierdzanie opracowanych przez Zarząd, zasad wynagradzania w Banku, </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 xml:space="preserve">zatwierdzanie opracowanej przez Zarząd, polityki dywidendowej Banku określającej warunki umożliwiające wypłatę dywidendy z wypracowanego przez Bank zysku w określonym czasie, z uwzględnieniem utrzymania kapitału na poziomie adekwatnym do ponoszonego ryzyka, </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zatwierdzanie opracowanych przez Zarząd, o ile nie zostały uwzględnione w ramach strategii zarządzania ryzykiem, zasad kultury ryzyka, obejmujących cały Bank, opartych na pełnym zrozumieniu ryzyka, na jakie Bank jest narażony i sposobu zarządzania tym ryzykiem, uwzględniających przyjęty apetyt na ryzyko,</w:t>
      </w:r>
    </w:p>
    <w:p w:rsidR="005046EB" w:rsidRPr="005046EB" w:rsidRDefault="005046EB" w:rsidP="00223F2E">
      <w:pPr>
        <w:numPr>
          <w:ilvl w:val="0"/>
          <w:numId w:val="6"/>
        </w:numPr>
        <w:spacing w:after="120" w:line="240" w:lineRule="auto"/>
        <w:jc w:val="both"/>
        <w:rPr>
          <w:rFonts w:ascii="Times New Roman" w:eastAsia="Times New Roman" w:hAnsi="Times New Roman" w:cs="Times New Roman"/>
          <w:i/>
          <w:lang w:val="pl-PL"/>
        </w:rPr>
      </w:pPr>
      <w:r w:rsidRPr="005046EB">
        <w:rPr>
          <w:rFonts w:ascii="Times New Roman" w:eastAsia="Times New Roman" w:hAnsi="Times New Roman" w:cs="Times New Roman"/>
          <w:i/>
          <w:lang w:val="pl-PL"/>
        </w:rPr>
        <w:t>zatwierdzanie opracowanej przez Zarząd, polityki zatwierdzania nowych produktów, która obejmuje rozwój nowych produktów, usług i rynków oraz istotne zmiany dotychczasowych produktów, usług i rynków.</w:t>
      </w:r>
    </w:p>
    <w:p w:rsidR="005046EB" w:rsidRPr="005046EB" w:rsidRDefault="005046EB" w:rsidP="005046EB">
      <w:pPr>
        <w:spacing w:after="120" w:line="240" w:lineRule="auto"/>
        <w:ind w:left="22" w:hanging="10"/>
        <w:jc w:val="center"/>
        <w:rPr>
          <w:rFonts w:ascii="Times New Roman" w:eastAsia="Times New Roman" w:hAnsi="Times New Roman" w:cs="Times New Roman"/>
          <w:lang w:val="pl-PL"/>
        </w:rPr>
      </w:pPr>
      <w:r w:rsidRPr="005046EB">
        <w:rPr>
          <w:rFonts w:ascii="Times New Roman" w:eastAsia="Times New Roman" w:hAnsi="Times New Roman" w:cs="Times New Roman"/>
          <w:lang w:val="pl-PL"/>
        </w:rPr>
        <w:t>§ 2</w:t>
      </w: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Zwyczajne Walne Zgromadzenie, działając na podstawie art. 430 § 5 Kodeksu spółek handlowych, postanawia upoważnić Radę Nadzorczą Banku Handlowego w Warszawie S.A. do ustalenia tekstu jednolitego Statutu Banku Handlowego w Warszawie S.A. po dokonaniu wpisu zmiany, o której mowa w § 1 Uchwały, do rejestru przedsiębiorców Krajowego Rejestru Sądowego.</w:t>
      </w:r>
    </w:p>
    <w:p w:rsidR="005046EB" w:rsidRPr="005046EB" w:rsidRDefault="005046EB" w:rsidP="005046EB">
      <w:pPr>
        <w:spacing w:after="120" w:line="240" w:lineRule="auto"/>
        <w:ind w:left="22" w:hanging="10"/>
        <w:jc w:val="center"/>
        <w:rPr>
          <w:rFonts w:ascii="Times New Roman" w:eastAsia="Times New Roman" w:hAnsi="Times New Roman" w:cs="Times New Roman"/>
          <w:lang w:val="pl-PL"/>
        </w:rPr>
      </w:pPr>
      <w:r w:rsidRPr="005046EB">
        <w:rPr>
          <w:rFonts w:ascii="Times New Roman" w:eastAsia="Times New Roman" w:hAnsi="Times New Roman" w:cs="Times New Roman"/>
          <w:lang w:val="pl-PL"/>
        </w:rPr>
        <w:t>§ 3</w:t>
      </w:r>
    </w:p>
    <w:p w:rsidR="005046EB" w:rsidRPr="005046EB" w:rsidRDefault="005046EB" w:rsidP="005046EB">
      <w:pPr>
        <w:spacing w:after="120" w:line="240" w:lineRule="auto"/>
        <w:ind w:left="22" w:hanging="10"/>
        <w:jc w:val="both"/>
        <w:rPr>
          <w:rFonts w:ascii="Times New Roman" w:eastAsia="Times New Roman" w:hAnsi="Times New Roman" w:cs="Times New Roman"/>
          <w:lang w:val="pl-PL"/>
        </w:rPr>
      </w:pPr>
      <w:r w:rsidRPr="005046EB">
        <w:rPr>
          <w:rFonts w:ascii="Times New Roman" w:eastAsia="Times New Roman" w:hAnsi="Times New Roman" w:cs="Times New Roman"/>
          <w:lang w:val="pl-PL"/>
        </w:rPr>
        <w:t>Uchwała wchodzi w życie z dniem podjęcia z mocą obowiązującą od dnia wpisu zmiany do rejestru przedsiębiorców Krajowego Rejestru Sądowego. Zgodnie z art. 34 ust. 2 ustawy z dnia 29 sierpnia 1997 r. Prawo bankowe zmiana Statutu Banku Handlowego w Warszawie Spółka Akcyjna na mocy niniejszej uchwały wymaga zezwolenia Komisji Nadzoru Finansowego.</w:t>
      </w:r>
    </w:p>
    <w:p w:rsidR="00223F2E" w:rsidRDefault="00223F2E" w:rsidP="00223F2E">
      <w:pPr>
        <w:spacing w:after="120" w:line="240" w:lineRule="auto"/>
        <w:ind w:left="12"/>
        <w:rPr>
          <w:rFonts w:ascii="Times New Roman" w:hAnsi="Times New Roman" w:cs="Times New Roman"/>
          <w:lang w:val="pl-PL"/>
        </w:rPr>
      </w:pPr>
    </w:p>
    <w:tbl>
      <w:tblPr>
        <w:tblStyle w:val="TableGrid"/>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223F2E" w:rsidRPr="0024129B" w:rsidTr="00DE4AF7">
        <w:trPr>
          <w:trHeight w:val="1524"/>
          <w:jc w:val="center"/>
        </w:trPr>
        <w:tc>
          <w:tcPr>
            <w:tcW w:w="2268"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Pr>
                <w:rFonts w:ascii="Times New Roman" w:eastAsia="Times New Roman" w:hAnsi="Times New Roman" w:cs="Times New Roman"/>
                <w:b/>
              </w:rPr>
              <w:lastRenderedPageBreak/>
              <w:t>__ z</w:t>
            </w:r>
            <w:r w:rsidRPr="0024129B">
              <w:rPr>
                <w:rFonts w:ascii="Times New Roman" w:eastAsia="Times New Roman" w:hAnsi="Times New Roman" w:cs="Times New Roman"/>
                <w:b/>
              </w:rPr>
              <w:t>a</w:t>
            </w:r>
          </w:p>
        </w:tc>
        <w:tc>
          <w:tcPr>
            <w:tcW w:w="2281" w:type="dxa"/>
            <w:tcBorders>
              <w:top w:val="single" w:sz="4" w:space="0" w:color="000000"/>
              <w:left w:val="single" w:sz="4" w:space="0" w:color="000000"/>
              <w:bottom w:val="nil"/>
              <w:right w:val="single" w:sz="4" w:space="0" w:color="000000"/>
            </w:tcBorders>
            <w:vAlign w:val="bottom"/>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p</w:t>
            </w:r>
            <w:r w:rsidRPr="0024129B">
              <w:rPr>
                <w:rFonts w:ascii="Times New Roman" w:eastAsia="Times New Roman" w:hAnsi="Times New Roman" w:cs="Times New Roman"/>
                <w:b/>
              </w:rPr>
              <w:t>rzeciw</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głoszenie sprzeciwu</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strzymuję się</w:t>
            </w:r>
          </w:p>
        </w:tc>
        <w:tc>
          <w:tcPr>
            <w:tcW w:w="2401" w:type="dxa"/>
            <w:tcBorders>
              <w:top w:val="single" w:sz="4" w:space="0" w:color="000000"/>
              <w:left w:val="single" w:sz="4" w:space="0" w:color="000000"/>
              <w:bottom w:val="nil"/>
              <w:right w:val="single" w:sz="4" w:space="0" w:color="000000"/>
            </w:tcBorders>
          </w:tcPr>
          <w:p w:rsidR="00223F2E" w:rsidRPr="0024129B" w:rsidRDefault="00223F2E" w:rsidP="00DE4AF7">
            <w:pPr>
              <w:spacing w:after="120"/>
              <w:ind w:left="372" w:hanging="372"/>
              <w:jc w:val="center"/>
              <w:rPr>
                <w:rFonts w:ascii="Times New Roman" w:hAnsi="Times New Roman" w:cs="Times New Roman"/>
              </w:rPr>
            </w:pPr>
            <w:r w:rsidRPr="0024129B">
              <w:rPr>
                <w:rFonts w:ascii="Times New Roman" w:eastAsia="Times New Roman" w:hAnsi="Times New Roman" w:cs="Times New Roman"/>
                <w:b/>
              </w:rPr>
              <w:t xml:space="preserve">__ </w:t>
            </w:r>
            <w:r>
              <w:rPr>
                <w:rFonts w:ascii="Times New Roman" w:eastAsia="Times New Roman" w:hAnsi="Times New Roman" w:cs="Times New Roman"/>
                <w:b/>
              </w:rPr>
              <w:t>w</w:t>
            </w:r>
            <w:r w:rsidRPr="0024129B">
              <w:rPr>
                <w:rFonts w:ascii="Times New Roman" w:eastAsia="Times New Roman" w:hAnsi="Times New Roman" w:cs="Times New Roman"/>
                <w:b/>
              </w:rPr>
              <w:t>edług uznania pełnomocnika</w:t>
            </w:r>
          </w:p>
        </w:tc>
      </w:tr>
      <w:tr w:rsidR="00223F2E" w:rsidRPr="0024129B" w:rsidTr="00DE4AF7">
        <w:trPr>
          <w:trHeight w:val="863"/>
          <w:jc w:val="center"/>
        </w:trPr>
        <w:tc>
          <w:tcPr>
            <w:tcW w:w="2268"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Liczba akcji: </w:t>
            </w:r>
          </w:p>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_____________ </w:t>
            </w:r>
          </w:p>
        </w:tc>
      </w:tr>
      <w:tr w:rsidR="00223F2E" w:rsidRPr="0024129B" w:rsidTr="00DE4AF7">
        <w:trPr>
          <w:trHeight w:val="406"/>
          <w:jc w:val="center"/>
        </w:trPr>
        <w:tc>
          <w:tcPr>
            <w:tcW w:w="2268" w:type="dxa"/>
            <w:tcBorders>
              <w:top w:val="single" w:sz="4" w:space="0" w:color="000000"/>
              <w:left w:val="single" w:sz="4" w:space="0" w:color="000000"/>
              <w:bottom w:val="single" w:sz="4" w:space="0" w:color="000000"/>
              <w:right w:val="nil"/>
            </w:tcBorders>
          </w:tcPr>
          <w:p w:rsidR="00223F2E" w:rsidRPr="0024129B" w:rsidRDefault="00223F2E" w:rsidP="00DE4AF7">
            <w:pPr>
              <w:spacing w:after="120"/>
              <w:rPr>
                <w:rFonts w:ascii="Times New Roman" w:hAnsi="Times New Roman" w:cs="Times New Roman"/>
              </w:rPr>
            </w:pPr>
            <w:r w:rsidRPr="0024129B">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rsidR="00223F2E" w:rsidRPr="0024129B" w:rsidRDefault="00223F2E" w:rsidP="00DE4A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rsidR="00223F2E" w:rsidRPr="0024129B" w:rsidRDefault="00223F2E" w:rsidP="00DE4AF7">
            <w:pPr>
              <w:spacing w:after="120"/>
              <w:rPr>
                <w:rFonts w:ascii="Times New Roman" w:hAnsi="Times New Roman" w:cs="Times New Roman"/>
              </w:rPr>
            </w:pPr>
          </w:p>
        </w:tc>
      </w:tr>
    </w:tbl>
    <w:p w:rsidR="00C51A40" w:rsidRPr="0024129B" w:rsidRDefault="00C51A40" w:rsidP="00223F2E">
      <w:pPr>
        <w:spacing w:after="120" w:line="240" w:lineRule="auto"/>
        <w:rPr>
          <w:rFonts w:ascii="Times New Roman" w:hAnsi="Times New Roman" w:cs="Times New Roman"/>
          <w:lang w:val="pl-PL"/>
        </w:rPr>
      </w:pPr>
    </w:p>
    <w:sectPr w:rsidR="00C51A40" w:rsidRPr="0024129B" w:rsidSect="005046EB">
      <w:footerReference w:type="even" r:id="rId11"/>
      <w:footerReference w:type="default" r:id="rId12"/>
      <w:footerReference w:type="first" r:id="rId13"/>
      <w:pgSz w:w="11906" w:h="16838"/>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4AF7" w:rsidRDefault="00DE4AF7">
      <w:pPr>
        <w:spacing w:after="0" w:line="240" w:lineRule="auto"/>
      </w:pPr>
      <w:r>
        <w:separator/>
      </w:r>
    </w:p>
  </w:endnote>
  <w:endnote w:type="continuationSeparator" w:id="0">
    <w:p w:rsidR="00DE4AF7" w:rsidRDefault="00DE4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NRB EE Time">
    <w:altName w:val="Arial"/>
    <w:panose1 w:val="00000000000000000000"/>
    <w:charset w:val="00"/>
    <w:family w:val="swiss"/>
    <w:notTrueType/>
    <w:pitch w:val="variable"/>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AF7" w:rsidRDefault="00DE4AF7">
    <w:pPr>
      <w:tabs>
        <w:tab w:val="center" w:pos="720"/>
        <w:tab w:val="right" w:pos="10131"/>
      </w:tabs>
      <w:spacing w:after="0"/>
    </w:pPr>
    <w: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Pr>
        <w:rFonts w:ascii="Times New Roman" w:eastAsia="Times New Roman" w:hAnsi="Times New Roman" w:cs="Times New Roman"/>
        <w:sz w:val="20"/>
      </w:rPr>
      <w:t>51</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DE4AF7" w:rsidRDefault="00DE4AF7">
    <w:pPr>
      <w:spacing w:after="0"/>
      <w:ind w:left="720"/>
    </w:pPr>
    <w:r>
      <w:rPr>
        <w:rFonts w:ascii="Times New Roman" w:eastAsia="Times New Roman" w:hAnsi="Times New Roman" w:cs="Times New Roman"/>
        <w:sz w:val="20"/>
      </w:rPr>
      <w:t xml:space="preserve"> </w:t>
    </w:r>
  </w:p>
  <w:p w:rsidR="00DE4AF7" w:rsidRDefault="00DE4AF7"/>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16"/>
        <w:szCs w:val="16"/>
      </w:rPr>
      <w:id w:val="355932423"/>
      <w:docPartObj>
        <w:docPartGallery w:val="Page Numbers (Bottom of Page)"/>
        <w:docPartUnique/>
      </w:docPartObj>
    </w:sdtPr>
    <w:sdtEndPr/>
    <w:sdtContent>
      <w:sdt>
        <w:sdtPr>
          <w:rPr>
            <w:rFonts w:ascii="Times New Roman" w:hAnsi="Times New Roman" w:cs="Times New Roman"/>
            <w:sz w:val="16"/>
            <w:szCs w:val="16"/>
          </w:rPr>
          <w:id w:val="-1769616900"/>
          <w:docPartObj>
            <w:docPartGallery w:val="Page Numbers (Top of Page)"/>
            <w:docPartUnique/>
          </w:docPartObj>
        </w:sdtPr>
        <w:sdtEndPr/>
        <w:sdtContent>
          <w:p w:rsidR="00DE4AF7" w:rsidRPr="00223F2E" w:rsidRDefault="00DE4AF7" w:rsidP="00223F2E">
            <w:pPr>
              <w:pStyle w:val="Footer"/>
              <w:jc w:val="right"/>
              <w:rPr>
                <w:rFonts w:ascii="Times New Roman" w:hAnsi="Times New Roman" w:cs="Times New Roman"/>
                <w:sz w:val="16"/>
                <w:szCs w:val="16"/>
              </w:rPr>
            </w:pPr>
            <w:r>
              <w:rPr>
                <w:rFonts w:ascii="Times New Roman" w:hAnsi="Times New Roman" w:cs="Times New Roman"/>
                <w:sz w:val="16"/>
                <w:szCs w:val="16"/>
              </w:rPr>
              <w:t>Strona</w:t>
            </w:r>
            <w:r w:rsidRPr="00223F2E">
              <w:rPr>
                <w:rFonts w:ascii="Times New Roman" w:hAnsi="Times New Roman" w:cs="Times New Roman"/>
                <w:sz w:val="16"/>
                <w:szCs w:val="16"/>
              </w:rPr>
              <w:t xml:space="preserve"> </w:t>
            </w:r>
            <w:r w:rsidRPr="00223F2E">
              <w:rPr>
                <w:rFonts w:ascii="Times New Roman" w:hAnsi="Times New Roman" w:cs="Times New Roman"/>
                <w:b/>
                <w:bCs/>
                <w:sz w:val="16"/>
                <w:szCs w:val="16"/>
              </w:rPr>
              <w:fldChar w:fldCharType="begin"/>
            </w:r>
            <w:r w:rsidRPr="00223F2E">
              <w:rPr>
                <w:rFonts w:ascii="Times New Roman" w:hAnsi="Times New Roman" w:cs="Times New Roman"/>
                <w:b/>
                <w:bCs/>
                <w:sz w:val="16"/>
                <w:szCs w:val="16"/>
              </w:rPr>
              <w:instrText xml:space="preserve"> PAGE </w:instrText>
            </w:r>
            <w:r w:rsidRPr="00223F2E">
              <w:rPr>
                <w:rFonts w:ascii="Times New Roman" w:hAnsi="Times New Roman" w:cs="Times New Roman"/>
                <w:b/>
                <w:bCs/>
                <w:sz w:val="16"/>
                <w:szCs w:val="16"/>
              </w:rPr>
              <w:fldChar w:fldCharType="separate"/>
            </w:r>
            <w:r w:rsidR="00C62814">
              <w:rPr>
                <w:rFonts w:ascii="Times New Roman" w:hAnsi="Times New Roman" w:cs="Times New Roman"/>
                <w:b/>
                <w:bCs/>
                <w:noProof/>
                <w:sz w:val="16"/>
                <w:szCs w:val="16"/>
              </w:rPr>
              <w:t>49</w:t>
            </w:r>
            <w:r w:rsidRPr="00223F2E">
              <w:rPr>
                <w:rFonts w:ascii="Times New Roman" w:hAnsi="Times New Roman" w:cs="Times New Roman"/>
                <w:b/>
                <w:bCs/>
                <w:sz w:val="16"/>
                <w:szCs w:val="16"/>
              </w:rPr>
              <w:fldChar w:fldCharType="end"/>
            </w:r>
            <w:r w:rsidRPr="00223F2E">
              <w:rPr>
                <w:rFonts w:ascii="Times New Roman" w:hAnsi="Times New Roman" w:cs="Times New Roman"/>
                <w:sz w:val="16"/>
                <w:szCs w:val="16"/>
              </w:rPr>
              <w:t xml:space="preserve"> </w:t>
            </w:r>
            <w:r>
              <w:rPr>
                <w:rFonts w:ascii="Times New Roman" w:hAnsi="Times New Roman" w:cs="Times New Roman"/>
                <w:sz w:val="16"/>
                <w:szCs w:val="16"/>
              </w:rPr>
              <w:t>z</w:t>
            </w:r>
            <w:r w:rsidRPr="00223F2E">
              <w:rPr>
                <w:rFonts w:ascii="Times New Roman" w:hAnsi="Times New Roman" w:cs="Times New Roman"/>
                <w:sz w:val="16"/>
                <w:szCs w:val="16"/>
              </w:rPr>
              <w:t xml:space="preserve"> </w:t>
            </w:r>
            <w:r w:rsidRPr="00223F2E">
              <w:rPr>
                <w:rFonts w:ascii="Times New Roman" w:hAnsi="Times New Roman" w:cs="Times New Roman"/>
                <w:b/>
                <w:bCs/>
                <w:sz w:val="16"/>
                <w:szCs w:val="16"/>
              </w:rPr>
              <w:fldChar w:fldCharType="begin"/>
            </w:r>
            <w:r w:rsidRPr="00223F2E">
              <w:rPr>
                <w:rFonts w:ascii="Times New Roman" w:hAnsi="Times New Roman" w:cs="Times New Roman"/>
                <w:b/>
                <w:bCs/>
                <w:sz w:val="16"/>
                <w:szCs w:val="16"/>
              </w:rPr>
              <w:instrText xml:space="preserve"> NUMPAGES  </w:instrText>
            </w:r>
            <w:r w:rsidRPr="00223F2E">
              <w:rPr>
                <w:rFonts w:ascii="Times New Roman" w:hAnsi="Times New Roman" w:cs="Times New Roman"/>
                <w:b/>
                <w:bCs/>
                <w:sz w:val="16"/>
                <w:szCs w:val="16"/>
              </w:rPr>
              <w:fldChar w:fldCharType="separate"/>
            </w:r>
            <w:r w:rsidR="00C62814">
              <w:rPr>
                <w:rFonts w:ascii="Times New Roman" w:hAnsi="Times New Roman" w:cs="Times New Roman"/>
                <w:b/>
                <w:bCs/>
                <w:noProof/>
                <w:sz w:val="16"/>
                <w:szCs w:val="16"/>
              </w:rPr>
              <w:t>49</w:t>
            </w:r>
            <w:r w:rsidRPr="00223F2E">
              <w:rPr>
                <w:rFonts w:ascii="Times New Roman" w:hAnsi="Times New Roman" w:cs="Times New Roman"/>
                <w:b/>
                <w:bCs/>
                <w:sz w:val="16"/>
                <w:szCs w:val="16"/>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AF7" w:rsidRDefault="00DE4AF7">
    <w:pPr>
      <w:tabs>
        <w:tab w:val="center" w:pos="720"/>
        <w:tab w:val="right" w:pos="10131"/>
      </w:tabs>
      <w:spacing w:after="0"/>
    </w:pPr>
    <w: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Pr>
        <w:rFonts w:ascii="Times New Roman" w:eastAsia="Times New Roman" w:hAnsi="Times New Roman" w:cs="Times New Roman"/>
        <w:sz w:val="20"/>
      </w:rPr>
      <w:t>51</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DE4AF7" w:rsidRDefault="00DE4AF7">
    <w:pPr>
      <w:spacing w:after="0"/>
      <w:ind w:left="720"/>
    </w:pPr>
    <w:r>
      <w:rPr>
        <w:rFonts w:ascii="Times New Roman" w:eastAsia="Times New Roman" w:hAnsi="Times New Roman" w:cs="Times New Roman"/>
        <w:sz w:val="20"/>
      </w:rPr>
      <w:t xml:space="preserve"> </w:t>
    </w:r>
  </w:p>
  <w:p w:rsidR="00DE4AF7" w:rsidRDefault="00DE4AF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4AF7" w:rsidRDefault="00DE4AF7">
      <w:pPr>
        <w:spacing w:after="0" w:line="240" w:lineRule="auto"/>
      </w:pPr>
      <w:r>
        <w:separator/>
      </w:r>
    </w:p>
  </w:footnote>
  <w:footnote w:type="continuationSeparator" w:id="0">
    <w:p w:rsidR="00DE4AF7" w:rsidRDefault="00DE4A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D7382572"/>
    <w:lvl w:ilvl="0">
      <w:start w:val="1"/>
      <w:numFmt w:val="bullet"/>
      <w:pStyle w:val="ListBullet3"/>
      <w:lvlText w:val=""/>
      <w:lvlJc w:val="left"/>
      <w:pPr>
        <w:tabs>
          <w:tab w:val="num" w:pos="926"/>
        </w:tabs>
        <w:ind w:left="926" w:hanging="360"/>
      </w:pPr>
      <w:rPr>
        <w:rFonts w:ascii="Symbol" w:hAnsi="Symbol" w:hint="default"/>
      </w:rPr>
    </w:lvl>
  </w:abstractNum>
  <w:abstractNum w:abstractNumId="1" w15:restartNumberingAfterBreak="0">
    <w:nsid w:val="0BB95A58"/>
    <w:multiLevelType w:val="hybridMultilevel"/>
    <w:tmpl w:val="6884E66E"/>
    <w:lvl w:ilvl="0" w:tplc="0415000F">
      <w:start w:val="1"/>
      <w:numFmt w:val="decimal"/>
      <w:lvlText w:val="%1."/>
      <w:lvlJc w:val="left"/>
      <w:pPr>
        <w:ind w:left="382" w:hanging="360"/>
      </w:pPr>
    </w:lvl>
    <w:lvl w:ilvl="1" w:tplc="04090019">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2" w15:restartNumberingAfterBreak="0">
    <w:nsid w:val="10442C2A"/>
    <w:multiLevelType w:val="multilevel"/>
    <w:tmpl w:val="24ECD144"/>
    <w:lvl w:ilvl="0">
      <w:start w:val="1"/>
      <w:numFmt w:val="bullet"/>
      <w:lvlText w:val=""/>
      <w:lvlJc w:val="left"/>
      <w:pPr>
        <w:tabs>
          <w:tab w:val="num" w:pos="862"/>
        </w:tabs>
        <w:ind w:left="862" w:hanging="720"/>
      </w:pPr>
      <w:rPr>
        <w:rFonts w:ascii="Symbol" w:hAnsi="Symbol" w:hint="default"/>
      </w:rPr>
    </w:lvl>
    <w:lvl w:ilvl="1">
      <w:start w:val="1"/>
      <w:numFmt w:val="bullet"/>
      <w:lvlText w:val=""/>
      <w:lvlJc w:val="left"/>
      <w:pPr>
        <w:tabs>
          <w:tab w:val="num" w:pos="1430"/>
        </w:tabs>
        <w:ind w:left="1430" w:hanging="720"/>
      </w:pPr>
      <w:rPr>
        <w:rFonts w:ascii="Symbol" w:hAnsi="Symbol" w:hint="default"/>
      </w:rPr>
    </w:lvl>
    <w:lvl w:ilvl="2">
      <w:start w:val="1"/>
      <w:numFmt w:val="lowerLetter"/>
      <w:lvlText w:val="(%3)"/>
      <w:lvlJc w:val="left"/>
      <w:pPr>
        <w:tabs>
          <w:tab w:val="num" w:pos="862"/>
        </w:tabs>
        <w:ind w:left="862" w:hanging="720"/>
      </w:pPr>
      <w:rPr>
        <w:rFonts w:cs="Times New Roman"/>
      </w:rPr>
    </w:lvl>
    <w:lvl w:ilvl="3">
      <w:start w:val="1"/>
      <w:numFmt w:val="lowerLetter"/>
      <w:lvlText w:val="(%4)"/>
      <w:lvlJc w:val="left"/>
      <w:pPr>
        <w:tabs>
          <w:tab w:val="num" w:pos="1582"/>
        </w:tabs>
        <w:ind w:left="1582" w:hanging="720"/>
      </w:pPr>
      <w:rPr>
        <w:rFonts w:cs="Times New Roman"/>
      </w:rPr>
    </w:lvl>
    <w:lvl w:ilvl="4">
      <w:start w:val="1"/>
      <w:numFmt w:val="lowerRoman"/>
      <w:lvlText w:val="(%5)"/>
      <w:lvlJc w:val="left"/>
      <w:pPr>
        <w:tabs>
          <w:tab w:val="num" w:pos="1582"/>
        </w:tabs>
        <w:ind w:left="1582" w:hanging="720"/>
      </w:pPr>
      <w:rPr>
        <w:rFonts w:cs="Times New Roman"/>
      </w:rPr>
    </w:lvl>
    <w:lvl w:ilvl="5">
      <w:start w:val="1"/>
      <w:numFmt w:val="lowerLetter"/>
      <w:lvlText w:val="%6)"/>
      <w:lvlJc w:val="left"/>
      <w:pPr>
        <w:tabs>
          <w:tab w:val="num" w:pos="1942"/>
        </w:tabs>
        <w:ind w:left="1942" w:hanging="360"/>
      </w:pPr>
      <w:rPr>
        <w:rFonts w:cs="Times New Roman"/>
      </w:rPr>
    </w:lvl>
    <w:lvl w:ilvl="6">
      <w:start w:val="1"/>
      <w:numFmt w:val="upperLetter"/>
      <w:lvlText w:val="(%7)"/>
      <w:lvlJc w:val="left"/>
      <w:pPr>
        <w:tabs>
          <w:tab w:val="num" w:pos="2302"/>
        </w:tabs>
        <w:ind w:left="2302" w:hanging="720"/>
      </w:pPr>
      <w:rPr>
        <w:rFonts w:cs="Times New Roman"/>
      </w:rPr>
    </w:lvl>
    <w:lvl w:ilvl="7">
      <w:start w:val="1"/>
      <w:numFmt w:val="upperLetter"/>
      <w:lvlText w:val="(%8)"/>
      <w:lvlJc w:val="left"/>
      <w:pPr>
        <w:tabs>
          <w:tab w:val="num" w:pos="3022"/>
        </w:tabs>
        <w:ind w:left="3022" w:hanging="720"/>
      </w:pPr>
      <w:rPr>
        <w:rFonts w:cs="Times New Roman"/>
      </w:rPr>
    </w:lvl>
    <w:lvl w:ilvl="8">
      <w:start w:val="1"/>
      <w:numFmt w:val="upperRoman"/>
      <w:lvlText w:val="%9."/>
      <w:lvlJc w:val="left"/>
      <w:pPr>
        <w:tabs>
          <w:tab w:val="num" w:pos="3742"/>
        </w:tabs>
        <w:ind w:left="3742" w:hanging="720"/>
      </w:pPr>
      <w:rPr>
        <w:rFonts w:cs="Times New Roman"/>
      </w:rPr>
    </w:lvl>
  </w:abstractNum>
  <w:abstractNum w:abstractNumId="3" w15:restartNumberingAfterBreak="0">
    <w:nsid w:val="10E72F4E"/>
    <w:multiLevelType w:val="hybridMultilevel"/>
    <w:tmpl w:val="88D4A0C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3D332E2"/>
    <w:multiLevelType w:val="hybridMultilevel"/>
    <w:tmpl w:val="A770FE4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 w15:restartNumberingAfterBreak="0">
    <w:nsid w:val="17D62314"/>
    <w:multiLevelType w:val="hybridMultilevel"/>
    <w:tmpl w:val="058870FA"/>
    <w:lvl w:ilvl="0" w:tplc="879AA580">
      <w:start w:val="1"/>
      <w:numFmt w:val="lowerLetter"/>
      <w:lvlText w:val="%1)"/>
      <w:lvlJc w:val="left"/>
      <w:pPr>
        <w:ind w:left="742" w:hanging="360"/>
      </w:pPr>
      <w:rPr>
        <w:sz w:val="20"/>
        <w:szCs w:val="20"/>
      </w:rPr>
    </w:lvl>
    <w:lvl w:ilvl="1" w:tplc="D480DA4E">
      <w:start w:val="1"/>
      <w:numFmt w:val="decimal"/>
      <w:lvlText w:val="%2)"/>
      <w:lvlJc w:val="left"/>
      <w:pPr>
        <w:ind w:left="1972" w:hanging="870"/>
      </w:pPr>
    </w:lvl>
    <w:lvl w:ilvl="2" w:tplc="04150005">
      <w:start w:val="1"/>
      <w:numFmt w:val="bullet"/>
      <w:lvlText w:val=""/>
      <w:lvlJc w:val="left"/>
      <w:pPr>
        <w:ind w:left="2182" w:hanging="360"/>
      </w:pPr>
      <w:rPr>
        <w:rFonts w:ascii="Wingdings" w:hAnsi="Wingdings" w:hint="default"/>
      </w:rPr>
    </w:lvl>
    <w:lvl w:ilvl="3" w:tplc="04150001">
      <w:start w:val="1"/>
      <w:numFmt w:val="bullet"/>
      <w:lvlText w:val=""/>
      <w:lvlJc w:val="left"/>
      <w:pPr>
        <w:ind w:left="2902" w:hanging="360"/>
      </w:pPr>
      <w:rPr>
        <w:rFonts w:ascii="Symbol" w:hAnsi="Symbol" w:hint="default"/>
      </w:rPr>
    </w:lvl>
    <w:lvl w:ilvl="4" w:tplc="04150003">
      <w:start w:val="1"/>
      <w:numFmt w:val="bullet"/>
      <w:lvlText w:val="o"/>
      <w:lvlJc w:val="left"/>
      <w:pPr>
        <w:ind w:left="3622" w:hanging="360"/>
      </w:pPr>
      <w:rPr>
        <w:rFonts w:ascii="Courier New" w:hAnsi="Courier New" w:cs="Courier New" w:hint="default"/>
      </w:rPr>
    </w:lvl>
    <w:lvl w:ilvl="5" w:tplc="04150005">
      <w:start w:val="1"/>
      <w:numFmt w:val="bullet"/>
      <w:lvlText w:val=""/>
      <w:lvlJc w:val="left"/>
      <w:pPr>
        <w:ind w:left="4342" w:hanging="360"/>
      </w:pPr>
      <w:rPr>
        <w:rFonts w:ascii="Wingdings" w:hAnsi="Wingdings" w:hint="default"/>
      </w:rPr>
    </w:lvl>
    <w:lvl w:ilvl="6" w:tplc="04150001">
      <w:start w:val="1"/>
      <w:numFmt w:val="bullet"/>
      <w:lvlText w:val=""/>
      <w:lvlJc w:val="left"/>
      <w:pPr>
        <w:ind w:left="5062" w:hanging="360"/>
      </w:pPr>
      <w:rPr>
        <w:rFonts w:ascii="Symbol" w:hAnsi="Symbol" w:hint="default"/>
      </w:rPr>
    </w:lvl>
    <w:lvl w:ilvl="7" w:tplc="04150003">
      <w:start w:val="1"/>
      <w:numFmt w:val="bullet"/>
      <w:lvlText w:val="o"/>
      <w:lvlJc w:val="left"/>
      <w:pPr>
        <w:ind w:left="5782" w:hanging="360"/>
      </w:pPr>
      <w:rPr>
        <w:rFonts w:ascii="Courier New" w:hAnsi="Courier New" w:cs="Courier New" w:hint="default"/>
      </w:rPr>
    </w:lvl>
    <w:lvl w:ilvl="8" w:tplc="04150005">
      <w:start w:val="1"/>
      <w:numFmt w:val="bullet"/>
      <w:lvlText w:val=""/>
      <w:lvlJc w:val="left"/>
      <w:pPr>
        <w:ind w:left="6502" w:hanging="360"/>
      </w:pPr>
      <w:rPr>
        <w:rFonts w:ascii="Wingdings" w:hAnsi="Wingdings" w:hint="default"/>
      </w:rPr>
    </w:lvl>
  </w:abstractNum>
  <w:abstractNum w:abstractNumId="6" w15:restartNumberingAfterBreak="0">
    <w:nsid w:val="18024B7E"/>
    <w:multiLevelType w:val="hybridMultilevel"/>
    <w:tmpl w:val="AAEA5398"/>
    <w:lvl w:ilvl="0" w:tplc="80D602B6">
      <w:start w:val="1"/>
      <w:numFmt w:val="decimal"/>
      <w:lvlText w:val="%1)"/>
      <w:lvlJc w:val="left"/>
      <w:pPr>
        <w:ind w:left="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369B0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E2D18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B8F9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B4341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7482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980A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9022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E213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E1A7369"/>
    <w:multiLevelType w:val="hybridMultilevel"/>
    <w:tmpl w:val="C5A867EE"/>
    <w:lvl w:ilvl="0" w:tplc="223CD768">
      <w:start w:val="1"/>
      <w:numFmt w:val="bullet"/>
      <w:lvlText w:val=""/>
      <w:lvlJc w:val="left"/>
      <w:pPr>
        <w:tabs>
          <w:tab w:val="num" w:pos="720"/>
        </w:tabs>
        <w:ind w:left="720" w:hanging="360"/>
      </w:pPr>
      <w:rPr>
        <w:rFonts w:ascii="Symbol" w:hAnsi="Symbol" w:hint="default"/>
        <w:color w:val="auto"/>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71690A"/>
    <w:multiLevelType w:val="hybridMultilevel"/>
    <w:tmpl w:val="E38AAB16"/>
    <w:lvl w:ilvl="0" w:tplc="04090001">
      <w:start w:val="1"/>
      <w:numFmt w:val="bullet"/>
      <w:lvlText w:val=""/>
      <w:lvlJc w:val="left"/>
      <w:pPr>
        <w:ind w:left="1429" w:hanging="360"/>
      </w:pPr>
      <w:rPr>
        <w:rFonts w:ascii="Symbol" w:hAnsi="Symbol" w:hint="default"/>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cs="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cs="Courier New" w:hint="default"/>
      </w:rPr>
    </w:lvl>
    <w:lvl w:ilvl="8" w:tplc="04090005">
      <w:start w:val="1"/>
      <w:numFmt w:val="bullet"/>
      <w:lvlText w:val=""/>
      <w:lvlJc w:val="left"/>
      <w:pPr>
        <w:ind w:left="7189" w:hanging="360"/>
      </w:pPr>
      <w:rPr>
        <w:rFonts w:ascii="Wingdings" w:hAnsi="Wingdings" w:hint="default"/>
      </w:rPr>
    </w:lvl>
  </w:abstractNum>
  <w:abstractNum w:abstractNumId="9" w15:restartNumberingAfterBreak="0">
    <w:nsid w:val="25A610E5"/>
    <w:multiLevelType w:val="hybridMultilevel"/>
    <w:tmpl w:val="916E8C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AF76CC"/>
    <w:multiLevelType w:val="hybridMultilevel"/>
    <w:tmpl w:val="9E58065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3AC97EAE"/>
    <w:multiLevelType w:val="hybridMultilevel"/>
    <w:tmpl w:val="47DA006A"/>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12" w15:restartNumberingAfterBreak="0">
    <w:nsid w:val="3DCD28BB"/>
    <w:multiLevelType w:val="hybridMultilevel"/>
    <w:tmpl w:val="B67893D2"/>
    <w:lvl w:ilvl="0" w:tplc="04090001">
      <w:start w:val="1"/>
      <w:numFmt w:val="bullet"/>
      <w:lvlText w:val=""/>
      <w:lvlJc w:val="left"/>
      <w:pPr>
        <w:ind w:left="775" w:hanging="360"/>
      </w:pPr>
      <w:rPr>
        <w:rFonts w:ascii="Symbol" w:hAnsi="Symbol" w:hint="default"/>
      </w:rPr>
    </w:lvl>
    <w:lvl w:ilvl="1" w:tplc="04090003">
      <w:start w:val="1"/>
      <w:numFmt w:val="bullet"/>
      <w:lvlText w:val="o"/>
      <w:lvlJc w:val="left"/>
      <w:pPr>
        <w:ind w:left="1495" w:hanging="360"/>
      </w:pPr>
      <w:rPr>
        <w:rFonts w:ascii="Courier New" w:hAnsi="Courier New" w:cs="Courier New" w:hint="default"/>
      </w:rPr>
    </w:lvl>
    <w:lvl w:ilvl="2" w:tplc="04090005">
      <w:start w:val="1"/>
      <w:numFmt w:val="bullet"/>
      <w:lvlText w:val=""/>
      <w:lvlJc w:val="left"/>
      <w:pPr>
        <w:ind w:left="2215" w:hanging="360"/>
      </w:pPr>
      <w:rPr>
        <w:rFonts w:ascii="Wingdings" w:hAnsi="Wingdings" w:hint="default"/>
      </w:rPr>
    </w:lvl>
    <w:lvl w:ilvl="3" w:tplc="04090001">
      <w:start w:val="1"/>
      <w:numFmt w:val="bullet"/>
      <w:lvlText w:val=""/>
      <w:lvlJc w:val="left"/>
      <w:pPr>
        <w:ind w:left="2935" w:hanging="360"/>
      </w:pPr>
      <w:rPr>
        <w:rFonts w:ascii="Symbol" w:hAnsi="Symbol" w:hint="default"/>
      </w:rPr>
    </w:lvl>
    <w:lvl w:ilvl="4" w:tplc="04090003">
      <w:start w:val="1"/>
      <w:numFmt w:val="bullet"/>
      <w:lvlText w:val="o"/>
      <w:lvlJc w:val="left"/>
      <w:pPr>
        <w:ind w:left="3655" w:hanging="360"/>
      </w:pPr>
      <w:rPr>
        <w:rFonts w:ascii="Courier New" w:hAnsi="Courier New" w:cs="Courier New" w:hint="default"/>
      </w:rPr>
    </w:lvl>
    <w:lvl w:ilvl="5" w:tplc="04090005">
      <w:start w:val="1"/>
      <w:numFmt w:val="bullet"/>
      <w:lvlText w:val=""/>
      <w:lvlJc w:val="left"/>
      <w:pPr>
        <w:ind w:left="4375" w:hanging="360"/>
      </w:pPr>
      <w:rPr>
        <w:rFonts w:ascii="Wingdings" w:hAnsi="Wingdings" w:hint="default"/>
      </w:rPr>
    </w:lvl>
    <w:lvl w:ilvl="6" w:tplc="04090001">
      <w:start w:val="1"/>
      <w:numFmt w:val="bullet"/>
      <w:lvlText w:val=""/>
      <w:lvlJc w:val="left"/>
      <w:pPr>
        <w:ind w:left="5095" w:hanging="360"/>
      </w:pPr>
      <w:rPr>
        <w:rFonts w:ascii="Symbol" w:hAnsi="Symbol" w:hint="default"/>
      </w:rPr>
    </w:lvl>
    <w:lvl w:ilvl="7" w:tplc="04090003">
      <w:start w:val="1"/>
      <w:numFmt w:val="bullet"/>
      <w:lvlText w:val="o"/>
      <w:lvlJc w:val="left"/>
      <w:pPr>
        <w:ind w:left="5815" w:hanging="360"/>
      </w:pPr>
      <w:rPr>
        <w:rFonts w:ascii="Courier New" w:hAnsi="Courier New" w:cs="Courier New" w:hint="default"/>
      </w:rPr>
    </w:lvl>
    <w:lvl w:ilvl="8" w:tplc="04090005">
      <w:start w:val="1"/>
      <w:numFmt w:val="bullet"/>
      <w:lvlText w:val=""/>
      <w:lvlJc w:val="left"/>
      <w:pPr>
        <w:ind w:left="6535" w:hanging="360"/>
      </w:pPr>
      <w:rPr>
        <w:rFonts w:ascii="Wingdings" w:hAnsi="Wingdings" w:hint="default"/>
      </w:rPr>
    </w:lvl>
  </w:abstractNum>
  <w:abstractNum w:abstractNumId="13" w15:restartNumberingAfterBreak="0">
    <w:nsid w:val="424A5D6E"/>
    <w:multiLevelType w:val="multilevel"/>
    <w:tmpl w:val="35BA985A"/>
    <w:lvl w:ilvl="0">
      <w:start w:val="1"/>
      <w:numFmt w:val="lowerLetter"/>
      <w:pStyle w:val="AOAltHead1"/>
      <w:lvlText w:val="%1)"/>
      <w:lvlJc w:val="left"/>
      <w:pPr>
        <w:tabs>
          <w:tab w:val="num" w:pos="660"/>
        </w:tabs>
        <w:ind w:left="660" w:hanging="360"/>
      </w:pPr>
      <w:rPr>
        <w:rFonts w:hint="default"/>
      </w:rPr>
    </w:lvl>
    <w:lvl w:ilvl="1">
      <w:start w:val="1"/>
      <w:numFmt w:val="lowerLetter"/>
      <w:lvlText w:val="%2."/>
      <w:lvlJc w:val="left"/>
      <w:pPr>
        <w:tabs>
          <w:tab w:val="num" w:pos="1380"/>
        </w:tabs>
        <w:ind w:left="1380" w:hanging="360"/>
      </w:pPr>
    </w:lvl>
    <w:lvl w:ilvl="2">
      <w:start w:val="1"/>
      <w:numFmt w:val="lowerRoman"/>
      <w:lvlText w:val="%3."/>
      <w:lvlJc w:val="right"/>
      <w:pPr>
        <w:tabs>
          <w:tab w:val="num" w:pos="2100"/>
        </w:tabs>
        <w:ind w:left="2100" w:hanging="180"/>
      </w:pPr>
    </w:lvl>
    <w:lvl w:ilvl="3">
      <w:start w:val="1"/>
      <w:numFmt w:val="decimal"/>
      <w:lvlText w:val="%4."/>
      <w:lvlJc w:val="left"/>
      <w:pPr>
        <w:tabs>
          <w:tab w:val="num" w:pos="2820"/>
        </w:tabs>
        <w:ind w:left="2820" w:hanging="360"/>
      </w:pPr>
    </w:lvl>
    <w:lvl w:ilvl="4">
      <w:start w:val="1"/>
      <w:numFmt w:val="lowerLetter"/>
      <w:lvlText w:val="%5."/>
      <w:lvlJc w:val="left"/>
      <w:pPr>
        <w:tabs>
          <w:tab w:val="num" w:pos="3540"/>
        </w:tabs>
        <w:ind w:left="3540" w:hanging="360"/>
      </w:pPr>
    </w:lvl>
    <w:lvl w:ilvl="5">
      <w:start w:val="1"/>
      <w:numFmt w:val="lowerRoman"/>
      <w:lvlText w:val="%6."/>
      <w:lvlJc w:val="right"/>
      <w:pPr>
        <w:tabs>
          <w:tab w:val="num" w:pos="4260"/>
        </w:tabs>
        <w:ind w:left="4260" w:hanging="180"/>
      </w:pPr>
    </w:lvl>
    <w:lvl w:ilvl="6">
      <w:start w:val="1"/>
      <w:numFmt w:val="decimal"/>
      <w:lvlText w:val="%7."/>
      <w:lvlJc w:val="left"/>
      <w:pPr>
        <w:tabs>
          <w:tab w:val="num" w:pos="4980"/>
        </w:tabs>
        <w:ind w:left="4980" w:hanging="360"/>
      </w:pPr>
    </w:lvl>
    <w:lvl w:ilvl="7">
      <w:start w:val="1"/>
      <w:numFmt w:val="lowerLetter"/>
      <w:lvlText w:val="%8."/>
      <w:lvlJc w:val="left"/>
      <w:pPr>
        <w:tabs>
          <w:tab w:val="num" w:pos="5700"/>
        </w:tabs>
        <w:ind w:left="5700" w:hanging="360"/>
      </w:pPr>
    </w:lvl>
    <w:lvl w:ilvl="8">
      <w:start w:val="1"/>
      <w:numFmt w:val="lowerRoman"/>
      <w:lvlText w:val="%9."/>
      <w:lvlJc w:val="right"/>
      <w:pPr>
        <w:tabs>
          <w:tab w:val="num" w:pos="6420"/>
        </w:tabs>
        <w:ind w:left="6420" w:hanging="180"/>
      </w:pPr>
    </w:lvl>
  </w:abstractNum>
  <w:abstractNum w:abstractNumId="14" w15:restartNumberingAfterBreak="0">
    <w:nsid w:val="42F32FAF"/>
    <w:multiLevelType w:val="hybridMultilevel"/>
    <w:tmpl w:val="6C7C2B0C"/>
    <w:lvl w:ilvl="0" w:tplc="04150001">
      <w:start w:val="1"/>
      <w:numFmt w:val="bullet"/>
      <w:lvlText w:val=""/>
      <w:lvlJc w:val="left"/>
      <w:pPr>
        <w:ind w:left="720" w:hanging="360"/>
      </w:pPr>
      <w:rPr>
        <w:rFonts w:ascii="Symbol" w:hAnsi="Symbol"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48EC43C4"/>
    <w:multiLevelType w:val="hybridMultilevel"/>
    <w:tmpl w:val="EB06E06C"/>
    <w:lvl w:ilvl="0" w:tplc="DA3837E4">
      <w:start w:val="36"/>
      <w:numFmt w:val="decimal"/>
      <w:lvlText w:val="%1)"/>
      <w:lvlJc w:val="left"/>
      <w:pPr>
        <w:ind w:left="74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8A1B8E"/>
    <w:multiLevelType w:val="hybridMultilevel"/>
    <w:tmpl w:val="88D280F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D79631C"/>
    <w:multiLevelType w:val="hybridMultilevel"/>
    <w:tmpl w:val="FDE6F62E"/>
    <w:lvl w:ilvl="0" w:tplc="E41C8582">
      <w:start w:val="1"/>
      <w:numFmt w:val="decimal"/>
      <w:lvlText w:val="%1)"/>
      <w:lvlJc w:val="left"/>
      <w:pPr>
        <w:ind w:left="720" w:hanging="360"/>
      </w:pPr>
      <w:rPr>
        <w:b w:val="0"/>
        <w:sz w:val="16"/>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1DB727E"/>
    <w:multiLevelType w:val="hybridMultilevel"/>
    <w:tmpl w:val="C85E531A"/>
    <w:lvl w:ilvl="0" w:tplc="FFFFFFFF">
      <w:numFmt w:val="bullet"/>
      <w:pStyle w:val="ListBullet"/>
      <w:lvlText w:val="-"/>
      <w:lvlJc w:val="left"/>
      <w:pPr>
        <w:tabs>
          <w:tab w:val="num" w:pos="360"/>
        </w:tabs>
        <w:ind w:left="360" w:hanging="360"/>
      </w:pPr>
      <w:rPr>
        <w:rFonts w:ascii="Times New Roman" w:eastAsia="Times New Roman" w:hAnsi="Times New Roman" w:cs="Times New Roman" w:hint="default"/>
      </w:rPr>
    </w:lvl>
    <w:lvl w:ilvl="1" w:tplc="FFFFFFFF">
      <w:start w:val="1"/>
      <w:numFmt w:val="bullet"/>
      <w:lvlText w:val="o"/>
      <w:lvlJc w:val="left"/>
      <w:pPr>
        <w:tabs>
          <w:tab w:val="num" w:pos="360"/>
        </w:tabs>
        <w:ind w:left="360" w:hanging="360"/>
      </w:pPr>
      <w:rPr>
        <w:rFonts w:ascii="Courier New" w:hAnsi="Courier New" w:cs="Times New Roman" w:hint="default"/>
      </w:rPr>
    </w:lvl>
    <w:lvl w:ilvl="2" w:tplc="FFFFFFFF">
      <w:start w:val="1"/>
      <w:numFmt w:val="bullet"/>
      <w:lvlText w:val=""/>
      <w:lvlJc w:val="left"/>
      <w:pPr>
        <w:tabs>
          <w:tab w:val="num" w:pos="1080"/>
        </w:tabs>
        <w:ind w:left="1080" w:hanging="360"/>
      </w:pPr>
      <w:rPr>
        <w:rFonts w:ascii="Wingdings" w:hAnsi="Wingdings" w:hint="default"/>
      </w:rPr>
    </w:lvl>
    <w:lvl w:ilvl="3" w:tplc="FFFFFFFF">
      <w:start w:val="1"/>
      <w:numFmt w:val="bullet"/>
      <w:lvlText w:val=""/>
      <w:lvlJc w:val="left"/>
      <w:pPr>
        <w:tabs>
          <w:tab w:val="num" w:pos="1800"/>
        </w:tabs>
        <w:ind w:left="1800" w:hanging="360"/>
      </w:pPr>
      <w:rPr>
        <w:rFonts w:ascii="Symbol" w:hAnsi="Symbol" w:hint="default"/>
      </w:rPr>
    </w:lvl>
    <w:lvl w:ilvl="4" w:tplc="FFFFFFFF">
      <w:start w:val="1"/>
      <w:numFmt w:val="bullet"/>
      <w:lvlText w:val="o"/>
      <w:lvlJc w:val="left"/>
      <w:pPr>
        <w:tabs>
          <w:tab w:val="num" w:pos="2520"/>
        </w:tabs>
        <w:ind w:left="2520" w:hanging="360"/>
      </w:pPr>
      <w:rPr>
        <w:rFonts w:ascii="Courier New" w:hAnsi="Courier New" w:cs="Times New Roman" w:hint="default"/>
      </w:rPr>
    </w:lvl>
    <w:lvl w:ilvl="5" w:tplc="FFFFFFFF">
      <w:start w:val="1"/>
      <w:numFmt w:val="bullet"/>
      <w:lvlText w:val=""/>
      <w:lvlJc w:val="left"/>
      <w:pPr>
        <w:tabs>
          <w:tab w:val="num" w:pos="3240"/>
        </w:tabs>
        <w:ind w:left="3240" w:hanging="360"/>
      </w:pPr>
      <w:rPr>
        <w:rFonts w:ascii="Wingdings" w:hAnsi="Wingdings" w:hint="default"/>
      </w:rPr>
    </w:lvl>
    <w:lvl w:ilvl="6" w:tplc="FFFFFFFF">
      <w:start w:val="1"/>
      <w:numFmt w:val="bullet"/>
      <w:lvlText w:val=""/>
      <w:lvlJc w:val="left"/>
      <w:pPr>
        <w:tabs>
          <w:tab w:val="num" w:pos="3960"/>
        </w:tabs>
        <w:ind w:left="3960" w:hanging="360"/>
      </w:pPr>
      <w:rPr>
        <w:rFonts w:ascii="Symbol" w:hAnsi="Symbol" w:hint="default"/>
      </w:rPr>
    </w:lvl>
    <w:lvl w:ilvl="7" w:tplc="FFFFFFFF">
      <w:start w:val="1"/>
      <w:numFmt w:val="bullet"/>
      <w:lvlText w:val="o"/>
      <w:lvlJc w:val="left"/>
      <w:pPr>
        <w:tabs>
          <w:tab w:val="num" w:pos="4680"/>
        </w:tabs>
        <w:ind w:left="4680" w:hanging="360"/>
      </w:pPr>
      <w:rPr>
        <w:rFonts w:ascii="Courier New" w:hAnsi="Courier New" w:cs="Times New Roman" w:hint="default"/>
      </w:rPr>
    </w:lvl>
    <w:lvl w:ilvl="8" w:tplc="FFFFFFFF">
      <w:start w:val="1"/>
      <w:numFmt w:val="bullet"/>
      <w:lvlText w:val=""/>
      <w:lvlJc w:val="left"/>
      <w:pPr>
        <w:tabs>
          <w:tab w:val="num" w:pos="5400"/>
        </w:tabs>
        <w:ind w:left="5400" w:hanging="360"/>
      </w:pPr>
      <w:rPr>
        <w:rFonts w:ascii="Wingdings" w:hAnsi="Wingdings" w:hint="default"/>
      </w:rPr>
    </w:lvl>
  </w:abstractNum>
  <w:abstractNum w:abstractNumId="19" w15:restartNumberingAfterBreak="0">
    <w:nsid w:val="53A3699B"/>
    <w:multiLevelType w:val="hybridMultilevel"/>
    <w:tmpl w:val="47DA006A"/>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20" w15:restartNumberingAfterBreak="0">
    <w:nsid w:val="587D0015"/>
    <w:multiLevelType w:val="hybridMultilevel"/>
    <w:tmpl w:val="8584A19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15:restartNumberingAfterBreak="0">
    <w:nsid w:val="5C09127F"/>
    <w:multiLevelType w:val="hybridMultilevel"/>
    <w:tmpl w:val="81A068E6"/>
    <w:lvl w:ilvl="0" w:tplc="CDE2FA72">
      <w:start w:val="1"/>
      <w:numFmt w:val="decimal"/>
      <w:lvlText w:val="%1."/>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A8CF68">
      <w:start w:val="1"/>
      <w:numFmt w:val="lowerLetter"/>
      <w:lvlText w:val="%2)"/>
      <w:lvlJc w:val="left"/>
      <w:pPr>
        <w:ind w:left="1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28948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60CC9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706B4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042FD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60BE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548F8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D42A3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6840FEE"/>
    <w:multiLevelType w:val="multilevel"/>
    <w:tmpl w:val="FEA6C132"/>
    <w:lvl w:ilvl="0">
      <w:start w:val="4"/>
      <w:numFmt w:val="decimal"/>
      <w:pStyle w:val="AOGenNum3"/>
      <w:lvlText w:val="%1."/>
      <w:lvlJc w:val="left"/>
      <w:pPr>
        <w:tabs>
          <w:tab w:val="num" w:pos="862"/>
        </w:tabs>
        <w:ind w:left="862" w:hanging="720"/>
      </w:pPr>
      <w:rPr>
        <w:rFonts w:cs="Times New Roman"/>
      </w:rPr>
    </w:lvl>
    <w:lvl w:ilvl="1">
      <w:start w:val="1"/>
      <w:numFmt w:val="decimal"/>
      <w:pStyle w:val="AOGenNum3List"/>
      <w:lvlText w:val="%1.%2"/>
      <w:lvlJc w:val="left"/>
      <w:pPr>
        <w:tabs>
          <w:tab w:val="num" w:pos="1997"/>
        </w:tabs>
        <w:ind w:left="1997" w:hanging="720"/>
      </w:pPr>
      <w:rPr>
        <w:rFonts w:cs="Times New Roman"/>
      </w:rPr>
    </w:lvl>
    <w:lvl w:ilvl="2">
      <w:start w:val="1"/>
      <w:numFmt w:val="lowerLetter"/>
      <w:lvlText w:val="(%3)"/>
      <w:lvlJc w:val="left"/>
      <w:pPr>
        <w:tabs>
          <w:tab w:val="num" w:pos="862"/>
        </w:tabs>
        <w:ind w:left="862" w:hanging="720"/>
      </w:pPr>
      <w:rPr>
        <w:rFonts w:cs="Times New Roman"/>
      </w:rPr>
    </w:lvl>
    <w:lvl w:ilvl="3">
      <w:start w:val="1"/>
      <w:numFmt w:val="lowerLetter"/>
      <w:lvlText w:val="(%4)"/>
      <w:lvlJc w:val="left"/>
      <w:pPr>
        <w:tabs>
          <w:tab w:val="num" w:pos="1582"/>
        </w:tabs>
        <w:ind w:left="1582" w:hanging="720"/>
      </w:pPr>
      <w:rPr>
        <w:rFonts w:cs="Times New Roman"/>
      </w:rPr>
    </w:lvl>
    <w:lvl w:ilvl="4">
      <w:start w:val="1"/>
      <w:numFmt w:val="lowerRoman"/>
      <w:lvlText w:val="(%5)"/>
      <w:lvlJc w:val="left"/>
      <w:pPr>
        <w:tabs>
          <w:tab w:val="num" w:pos="1582"/>
        </w:tabs>
        <w:ind w:left="1582" w:hanging="720"/>
      </w:pPr>
      <w:rPr>
        <w:rFonts w:cs="Times New Roman"/>
      </w:rPr>
    </w:lvl>
    <w:lvl w:ilvl="5">
      <w:start w:val="1"/>
      <w:numFmt w:val="lowerLetter"/>
      <w:lvlText w:val="%6)"/>
      <w:lvlJc w:val="left"/>
      <w:pPr>
        <w:tabs>
          <w:tab w:val="num" w:pos="1942"/>
        </w:tabs>
        <w:ind w:left="1942" w:hanging="360"/>
      </w:pPr>
      <w:rPr>
        <w:rFonts w:cs="Times New Roman"/>
      </w:rPr>
    </w:lvl>
    <w:lvl w:ilvl="6">
      <w:start w:val="1"/>
      <w:numFmt w:val="upperLetter"/>
      <w:lvlText w:val="(%7)"/>
      <w:lvlJc w:val="left"/>
      <w:pPr>
        <w:tabs>
          <w:tab w:val="num" w:pos="2302"/>
        </w:tabs>
        <w:ind w:left="2302" w:hanging="720"/>
      </w:pPr>
      <w:rPr>
        <w:rFonts w:cs="Times New Roman"/>
      </w:rPr>
    </w:lvl>
    <w:lvl w:ilvl="7">
      <w:start w:val="1"/>
      <w:numFmt w:val="upperLetter"/>
      <w:lvlText w:val="(%8)"/>
      <w:lvlJc w:val="left"/>
      <w:pPr>
        <w:tabs>
          <w:tab w:val="num" w:pos="3022"/>
        </w:tabs>
        <w:ind w:left="3022" w:hanging="720"/>
      </w:pPr>
      <w:rPr>
        <w:rFonts w:cs="Times New Roman"/>
      </w:rPr>
    </w:lvl>
    <w:lvl w:ilvl="8">
      <w:start w:val="1"/>
      <w:numFmt w:val="upperRoman"/>
      <w:lvlText w:val="%9."/>
      <w:lvlJc w:val="left"/>
      <w:pPr>
        <w:tabs>
          <w:tab w:val="num" w:pos="3742"/>
        </w:tabs>
        <w:ind w:left="3742" w:hanging="720"/>
      </w:pPr>
      <w:rPr>
        <w:rFonts w:cs="Times New Roman"/>
      </w:rPr>
    </w:lvl>
  </w:abstractNum>
  <w:abstractNum w:abstractNumId="23" w15:restartNumberingAfterBreak="0">
    <w:nsid w:val="739F705C"/>
    <w:multiLevelType w:val="multilevel"/>
    <w:tmpl w:val="4852CC40"/>
    <w:lvl w:ilvl="0">
      <w:start w:val="1"/>
      <w:numFmt w:val="decimal"/>
      <w:lvlText w:val="%1."/>
      <w:lvlJc w:val="left"/>
      <w:pPr>
        <w:ind w:left="360" w:hanging="360"/>
      </w:pPr>
      <w:rPr>
        <w:color w:val="auto"/>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D4E7F71"/>
    <w:multiLevelType w:val="hybridMultilevel"/>
    <w:tmpl w:val="A770FE4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num w:numId="1">
    <w:abstractNumId w:val="21"/>
  </w:num>
  <w:num w:numId="2">
    <w:abstractNumId w:val="6"/>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5"/>
  </w:num>
  <w:num w:numId="7">
    <w:abstractNumId w:val="24"/>
  </w:num>
  <w:num w:numId="8">
    <w:abstractNumId w:val="19"/>
  </w:num>
  <w:num w:numId="9">
    <w:abstractNumId w:val="4"/>
  </w:num>
  <w:num w:numId="10">
    <w:abstractNumId w:val="11"/>
  </w:num>
  <w:num w:numId="11">
    <w:abstractNumId w:val="18"/>
  </w:num>
  <w:num w:numId="12">
    <w:abstractNumId w:val="0"/>
  </w:num>
  <w:num w:numId="13">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9"/>
  </w:num>
  <w:num w:numId="18">
    <w:abstractNumId w:val="8"/>
  </w:num>
  <w:num w:numId="19">
    <w:abstractNumId w:val="14"/>
  </w:num>
  <w:num w:numId="20">
    <w:abstractNumId w:val="7"/>
  </w:num>
  <w:num w:numId="21">
    <w:abstractNumId w:val="17"/>
    <w:lvlOverride w:ilvl="0">
      <w:startOverride w:val="1"/>
    </w:lvlOverride>
    <w:lvlOverride w:ilvl="1"/>
    <w:lvlOverride w:ilvl="2"/>
    <w:lvlOverride w:ilvl="3"/>
    <w:lvlOverride w:ilvl="4"/>
    <w:lvlOverride w:ilvl="5"/>
    <w:lvlOverride w:ilvl="6"/>
    <w:lvlOverride w:ilvl="7"/>
    <w:lvlOverride w:ilvl="8"/>
  </w:num>
  <w:num w:numId="22">
    <w:abstractNumId w:val="12"/>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25">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A40"/>
    <w:rsid w:val="000854FB"/>
    <w:rsid w:val="00223F2E"/>
    <w:rsid w:val="0024129B"/>
    <w:rsid w:val="005046EB"/>
    <w:rsid w:val="006960EF"/>
    <w:rsid w:val="007E5353"/>
    <w:rsid w:val="00A417F6"/>
    <w:rsid w:val="00C51A40"/>
    <w:rsid w:val="00C62814"/>
    <w:rsid w:val="00CB714D"/>
    <w:rsid w:val="00D138B1"/>
    <w:rsid w:val="00DB00BD"/>
    <w:rsid w:val="00DE4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6401DD7A-D4C8-4ADE-BF2C-DBF55CB6B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44"/>
      <w:ind w:left="22" w:hanging="10"/>
      <w:outlineLvl w:val="0"/>
    </w:pPr>
    <w:rPr>
      <w:rFonts w:ascii="Times New Roman" w:eastAsia="Times New Roman" w:hAnsi="Times New Roman" w:cs="Times New Roman"/>
      <w:b/>
      <w:i/>
      <w:color w:val="000000"/>
      <w:sz w:val="24"/>
    </w:rPr>
  </w:style>
  <w:style w:type="paragraph" w:styleId="Heading2">
    <w:name w:val="heading 2"/>
    <w:basedOn w:val="Normal"/>
    <w:next w:val="Normal"/>
    <w:link w:val="Heading2Char"/>
    <w:uiPriority w:val="9"/>
    <w:semiHidden/>
    <w:unhideWhenUsed/>
    <w:qFormat/>
    <w:rsid w:val="005046EB"/>
    <w:pPr>
      <w:keepNext/>
      <w:spacing w:before="240" w:after="60" w:line="240" w:lineRule="auto"/>
      <w:outlineLvl w:val="1"/>
    </w:pPr>
    <w:rPr>
      <w:rFonts w:ascii="Arial" w:eastAsia="SimSun" w:hAnsi="Arial" w:cs="Arial"/>
      <w:b/>
      <w:bCs/>
      <w:i/>
      <w:iCs/>
      <w:color w:val="auto"/>
      <w:sz w:val="28"/>
      <w:szCs w:val="28"/>
      <w:lang w:val="pl-PL" w:eastAsia="zh-CN"/>
    </w:rPr>
  </w:style>
  <w:style w:type="paragraph" w:styleId="Heading3">
    <w:name w:val="heading 3"/>
    <w:basedOn w:val="Normal"/>
    <w:next w:val="Normal"/>
    <w:link w:val="Heading3Char"/>
    <w:semiHidden/>
    <w:unhideWhenUsed/>
    <w:qFormat/>
    <w:rsid w:val="005046EB"/>
    <w:pPr>
      <w:keepNext/>
      <w:spacing w:before="240" w:after="60" w:line="240" w:lineRule="auto"/>
      <w:outlineLvl w:val="2"/>
    </w:pPr>
    <w:rPr>
      <w:rFonts w:ascii="Cambria" w:eastAsia="Times New Roman" w:hAnsi="Cambria" w:cs="Times New Roman"/>
      <w:b/>
      <w:bCs/>
      <w:color w:val="auto"/>
      <w:sz w:val="26"/>
      <w:szCs w:val="26"/>
      <w:lang w:val="pl-PL"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Times New Roman" w:eastAsia="Times New Roman" w:hAnsi="Times New Roman" w:cs="Times New Roman"/>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DB00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0BD"/>
    <w:rPr>
      <w:rFonts w:ascii="Calibri" w:eastAsia="Calibri" w:hAnsi="Calibri" w:cs="Calibri"/>
      <w:color w:val="000000"/>
    </w:rPr>
  </w:style>
  <w:style w:type="paragraph" w:styleId="Footer">
    <w:name w:val="footer"/>
    <w:basedOn w:val="Normal"/>
    <w:link w:val="FooterChar"/>
    <w:uiPriority w:val="99"/>
    <w:unhideWhenUsed/>
    <w:rsid w:val="00DB00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0BD"/>
    <w:rPr>
      <w:rFonts w:ascii="Calibri" w:eastAsia="Calibri" w:hAnsi="Calibri" w:cs="Calibri"/>
      <w:color w:val="000000"/>
    </w:rPr>
  </w:style>
  <w:style w:type="table" w:styleId="TableGrid0">
    <w:name w:val="Table Grid"/>
    <w:basedOn w:val="TableNormal"/>
    <w:uiPriority w:val="39"/>
    <w:rsid w:val="002412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OAltHead1">
    <w:name w:val="AOAltHead1"/>
    <w:basedOn w:val="Normal"/>
    <w:next w:val="Normal"/>
    <w:rsid w:val="005046EB"/>
    <w:pPr>
      <w:numPr>
        <w:numId w:val="3"/>
      </w:numPr>
      <w:spacing w:before="240" w:after="0" w:line="260" w:lineRule="atLeast"/>
      <w:jc w:val="both"/>
      <w:outlineLvl w:val="0"/>
    </w:pPr>
    <w:rPr>
      <w:rFonts w:ascii="Times New Roman" w:eastAsia="SimSun" w:hAnsi="Times New Roman" w:cs="Times New Roman"/>
      <w:color w:val="auto"/>
      <w:kern w:val="28"/>
      <w:lang w:val="pl-PL"/>
    </w:rPr>
  </w:style>
  <w:style w:type="character" w:customStyle="1" w:styleId="Heading2Char">
    <w:name w:val="Heading 2 Char"/>
    <w:basedOn w:val="DefaultParagraphFont"/>
    <w:link w:val="Heading2"/>
    <w:uiPriority w:val="9"/>
    <w:semiHidden/>
    <w:rsid w:val="005046EB"/>
    <w:rPr>
      <w:rFonts w:ascii="Arial" w:eastAsia="SimSun" w:hAnsi="Arial" w:cs="Arial"/>
      <w:b/>
      <w:bCs/>
      <w:i/>
      <w:iCs/>
      <w:sz w:val="28"/>
      <w:szCs w:val="28"/>
      <w:lang w:val="pl-PL" w:eastAsia="zh-CN"/>
    </w:rPr>
  </w:style>
  <w:style w:type="character" w:customStyle="1" w:styleId="Heading3Char">
    <w:name w:val="Heading 3 Char"/>
    <w:basedOn w:val="DefaultParagraphFont"/>
    <w:link w:val="Heading3"/>
    <w:semiHidden/>
    <w:rsid w:val="005046EB"/>
    <w:rPr>
      <w:rFonts w:ascii="Cambria" w:eastAsia="Times New Roman" w:hAnsi="Cambria" w:cs="Times New Roman"/>
      <w:b/>
      <w:bCs/>
      <w:sz w:val="26"/>
      <w:szCs w:val="26"/>
      <w:lang w:val="pl-PL" w:eastAsia="zh-CN"/>
    </w:rPr>
  </w:style>
  <w:style w:type="table" w:customStyle="1" w:styleId="TableGrid1">
    <w:name w:val="TableGrid1"/>
    <w:rsid w:val="005046EB"/>
    <w:pPr>
      <w:spacing w:after="0" w:line="240" w:lineRule="auto"/>
    </w:pPr>
    <w:rPr>
      <w:rFonts w:ascii="Calibri" w:eastAsia="Times New Roman" w:hAnsi="Calibri" w:cs="Times New Roman"/>
    </w:r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5046EB"/>
    <w:pPr>
      <w:ind w:left="720"/>
      <w:contextualSpacing/>
    </w:pPr>
  </w:style>
  <w:style w:type="paragraph" w:styleId="BodyText2">
    <w:name w:val="Body Text 2"/>
    <w:basedOn w:val="Normal"/>
    <w:link w:val="BodyText2Char"/>
    <w:uiPriority w:val="99"/>
    <w:rsid w:val="005046EB"/>
    <w:pPr>
      <w:spacing w:after="0" w:line="240" w:lineRule="auto"/>
      <w:jc w:val="center"/>
    </w:pPr>
    <w:rPr>
      <w:rFonts w:ascii="Times New Roman" w:eastAsia="Times New Roman" w:hAnsi="Times New Roman" w:cs="Times New Roman"/>
      <w:b/>
      <w:bCs/>
      <w:color w:val="auto"/>
      <w:sz w:val="23"/>
      <w:szCs w:val="23"/>
      <w:lang w:val="pl-PL"/>
    </w:rPr>
  </w:style>
  <w:style w:type="character" w:customStyle="1" w:styleId="BodyText2Char">
    <w:name w:val="Body Text 2 Char"/>
    <w:basedOn w:val="DefaultParagraphFont"/>
    <w:link w:val="BodyText2"/>
    <w:uiPriority w:val="99"/>
    <w:rsid w:val="005046EB"/>
    <w:rPr>
      <w:rFonts w:ascii="Times New Roman" w:eastAsia="Times New Roman" w:hAnsi="Times New Roman" w:cs="Times New Roman"/>
      <w:b/>
      <w:bCs/>
      <w:sz w:val="23"/>
      <w:szCs w:val="23"/>
      <w:lang w:val="pl-PL"/>
    </w:rPr>
  </w:style>
  <w:style w:type="character" w:styleId="CommentReference">
    <w:name w:val="annotation reference"/>
    <w:uiPriority w:val="99"/>
    <w:semiHidden/>
    <w:unhideWhenUsed/>
    <w:rsid w:val="005046EB"/>
    <w:rPr>
      <w:sz w:val="16"/>
      <w:szCs w:val="16"/>
    </w:rPr>
  </w:style>
  <w:style w:type="paragraph" w:styleId="CommentText">
    <w:name w:val="annotation text"/>
    <w:basedOn w:val="Normal"/>
    <w:link w:val="CommentTextChar"/>
    <w:uiPriority w:val="99"/>
    <w:semiHidden/>
    <w:unhideWhenUsed/>
    <w:rsid w:val="005046EB"/>
    <w:pPr>
      <w:spacing w:line="240" w:lineRule="auto"/>
    </w:pPr>
    <w:rPr>
      <w:sz w:val="20"/>
      <w:szCs w:val="20"/>
    </w:rPr>
  </w:style>
  <w:style w:type="character" w:customStyle="1" w:styleId="CommentTextChar">
    <w:name w:val="Comment Text Char"/>
    <w:basedOn w:val="DefaultParagraphFont"/>
    <w:link w:val="CommentText"/>
    <w:uiPriority w:val="99"/>
    <w:semiHidden/>
    <w:rsid w:val="005046EB"/>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5046EB"/>
    <w:rPr>
      <w:b/>
      <w:bCs/>
    </w:rPr>
  </w:style>
  <w:style w:type="character" w:customStyle="1" w:styleId="CommentSubjectChar">
    <w:name w:val="Comment Subject Char"/>
    <w:basedOn w:val="CommentTextChar"/>
    <w:link w:val="CommentSubject"/>
    <w:uiPriority w:val="99"/>
    <w:semiHidden/>
    <w:rsid w:val="005046EB"/>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5046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6EB"/>
    <w:rPr>
      <w:rFonts w:ascii="Segoe UI" w:eastAsia="Calibri" w:hAnsi="Segoe UI" w:cs="Segoe UI"/>
      <w:color w:val="000000"/>
      <w:sz w:val="18"/>
      <w:szCs w:val="18"/>
    </w:rPr>
  </w:style>
  <w:style w:type="numbering" w:customStyle="1" w:styleId="NoList1">
    <w:name w:val="No List1"/>
    <w:next w:val="NoList"/>
    <w:uiPriority w:val="99"/>
    <w:semiHidden/>
    <w:unhideWhenUsed/>
    <w:rsid w:val="005046EB"/>
  </w:style>
  <w:style w:type="character" w:styleId="Hyperlink">
    <w:name w:val="Hyperlink"/>
    <w:uiPriority w:val="99"/>
    <w:semiHidden/>
    <w:unhideWhenUsed/>
    <w:rsid w:val="005046EB"/>
    <w:rPr>
      <w:color w:val="0000FF"/>
      <w:u w:val="single"/>
    </w:rPr>
  </w:style>
  <w:style w:type="character" w:customStyle="1" w:styleId="FollowedHyperlink1">
    <w:name w:val="FollowedHyperlink1"/>
    <w:uiPriority w:val="99"/>
    <w:semiHidden/>
    <w:unhideWhenUsed/>
    <w:rsid w:val="005046EB"/>
    <w:rPr>
      <w:color w:val="954F72"/>
      <w:u w:val="single"/>
    </w:rPr>
  </w:style>
  <w:style w:type="paragraph" w:customStyle="1" w:styleId="msonormal0">
    <w:name w:val="msonormal"/>
    <w:basedOn w:val="Normal"/>
    <w:uiPriority w:val="99"/>
    <w:rsid w:val="005046EB"/>
    <w:pPr>
      <w:spacing w:after="75" w:line="240" w:lineRule="auto"/>
    </w:pPr>
    <w:rPr>
      <w:rFonts w:ascii="Times New Roman" w:eastAsia="Times New Roman" w:hAnsi="Times New Roman" w:cs="Times New Roman"/>
      <w:color w:val="auto"/>
      <w:sz w:val="24"/>
      <w:szCs w:val="24"/>
    </w:rPr>
  </w:style>
  <w:style w:type="paragraph" w:styleId="NormalWeb">
    <w:name w:val="Normal (Web)"/>
    <w:basedOn w:val="Normal"/>
    <w:uiPriority w:val="99"/>
    <w:semiHidden/>
    <w:unhideWhenUsed/>
    <w:rsid w:val="005046EB"/>
    <w:pPr>
      <w:spacing w:after="75" w:line="240" w:lineRule="auto"/>
    </w:pPr>
    <w:rPr>
      <w:rFonts w:ascii="Times New Roman" w:eastAsia="Times New Roman" w:hAnsi="Times New Roman" w:cs="Times New Roman"/>
      <w:color w:val="auto"/>
      <w:sz w:val="24"/>
      <w:szCs w:val="24"/>
    </w:rPr>
  </w:style>
  <w:style w:type="paragraph" w:styleId="TOC1">
    <w:name w:val="toc 1"/>
    <w:basedOn w:val="Normal"/>
    <w:next w:val="Normal"/>
    <w:autoRedefine/>
    <w:uiPriority w:val="39"/>
    <w:semiHidden/>
    <w:unhideWhenUsed/>
    <w:rsid w:val="005046EB"/>
    <w:pPr>
      <w:tabs>
        <w:tab w:val="right" w:leader="dot" w:pos="9062"/>
      </w:tabs>
      <w:spacing w:after="0" w:line="276" w:lineRule="auto"/>
      <w:jc w:val="both"/>
    </w:pPr>
    <w:rPr>
      <w:rFonts w:cs="Times New Roman"/>
      <w:color w:val="auto"/>
      <w:sz w:val="24"/>
      <w:lang w:val="pl-PL"/>
    </w:rPr>
  </w:style>
  <w:style w:type="paragraph" w:styleId="FootnoteText">
    <w:name w:val="footnote text"/>
    <w:basedOn w:val="Normal"/>
    <w:link w:val="FootnoteTextChar"/>
    <w:uiPriority w:val="99"/>
    <w:semiHidden/>
    <w:unhideWhenUsed/>
    <w:rsid w:val="005046EB"/>
    <w:pPr>
      <w:spacing w:after="0" w:line="240" w:lineRule="auto"/>
      <w:jc w:val="both"/>
    </w:pPr>
    <w:rPr>
      <w:rFonts w:ascii="Times New Roman" w:eastAsia="SimSun" w:hAnsi="Times New Roman" w:cs="Times New Roman"/>
      <w:color w:val="auto"/>
      <w:sz w:val="20"/>
      <w:szCs w:val="20"/>
      <w:lang w:val="en-GB" w:eastAsia="zh-CN" w:bidi="ar-AE"/>
    </w:rPr>
  </w:style>
  <w:style w:type="character" w:customStyle="1" w:styleId="FootnoteTextChar">
    <w:name w:val="Footnote Text Char"/>
    <w:basedOn w:val="DefaultParagraphFont"/>
    <w:link w:val="FootnoteText"/>
    <w:uiPriority w:val="99"/>
    <w:semiHidden/>
    <w:rsid w:val="005046EB"/>
    <w:rPr>
      <w:rFonts w:ascii="Times New Roman" w:eastAsia="SimSun" w:hAnsi="Times New Roman" w:cs="Times New Roman"/>
      <w:sz w:val="20"/>
      <w:szCs w:val="20"/>
      <w:lang w:val="en-GB" w:eastAsia="zh-CN" w:bidi="ar-AE"/>
    </w:rPr>
  </w:style>
  <w:style w:type="paragraph" w:customStyle="1" w:styleId="Caption1">
    <w:name w:val="Caption1"/>
    <w:basedOn w:val="Normal"/>
    <w:next w:val="Normal"/>
    <w:uiPriority w:val="35"/>
    <w:semiHidden/>
    <w:unhideWhenUsed/>
    <w:qFormat/>
    <w:rsid w:val="005046EB"/>
    <w:pPr>
      <w:spacing w:after="200" w:line="240" w:lineRule="auto"/>
      <w:jc w:val="both"/>
    </w:pPr>
    <w:rPr>
      <w:rFonts w:ascii="Times New Roman" w:eastAsia="SimSun" w:hAnsi="Times New Roman" w:cs="Times New Roman"/>
      <w:i/>
      <w:iCs/>
      <w:color w:val="44546A"/>
      <w:sz w:val="18"/>
      <w:szCs w:val="18"/>
      <w:lang w:val="en-GB" w:eastAsia="zh-CN" w:bidi="ar-AE"/>
    </w:rPr>
  </w:style>
  <w:style w:type="paragraph" w:styleId="EndnoteText">
    <w:name w:val="endnote text"/>
    <w:basedOn w:val="Normal"/>
    <w:link w:val="EndnoteTextChar"/>
    <w:uiPriority w:val="99"/>
    <w:semiHidden/>
    <w:unhideWhenUsed/>
    <w:rsid w:val="005046EB"/>
    <w:pPr>
      <w:spacing w:after="0" w:line="240" w:lineRule="auto"/>
      <w:jc w:val="both"/>
    </w:pPr>
    <w:rPr>
      <w:rFonts w:ascii="Times New Roman" w:eastAsia="SimSun" w:hAnsi="Times New Roman" w:cs="Times New Roman"/>
      <w:color w:val="auto"/>
      <w:sz w:val="20"/>
      <w:szCs w:val="20"/>
      <w:lang w:val="en-GB" w:eastAsia="zh-CN" w:bidi="ar-AE"/>
    </w:rPr>
  </w:style>
  <w:style w:type="character" w:customStyle="1" w:styleId="EndnoteTextChar">
    <w:name w:val="Endnote Text Char"/>
    <w:basedOn w:val="DefaultParagraphFont"/>
    <w:link w:val="EndnoteText"/>
    <w:uiPriority w:val="99"/>
    <w:semiHidden/>
    <w:rsid w:val="005046EB"/>
    <w:rPr>
      <w:rFonts w:ascii="Times New Roman" w:eastAsia="SimSun" w:hAnsi="Times New Roman" w:cs="Times New Roman"/>
      <w:sz w:val="20"/>
      <w:szCs w:val="20"/>
      <w:lang w:val="en-GB" w:eastAsia="zh-CN" w:bidi="ar-AE"/>
    </w:rPr>
  </w:style>
  <w:style w:type="paragraph" w:styleId="ListBullet">
    <w:name w:val="List Bullet"/>
    <w:basedOn w:val="Normal"/>
    <w:autoRedefine/>
    <w:uiPriority w:val="99"/>
    <w:semiHidden/>
    <w:unhideWhenUsed/>
    <w:rsid w:val="005046EB"/>
    <w:pPr>
      <w:numPr>
        <w:numId w:val="11"/>
      </w:numPr>
      <w:spacing w:after="120" w:line="240" w:lineRule="auto"/>
      <w:jc w:val="both"/>
    </w:pPr>
    <w:rPr>
      <w:rFonts w:ascii="Times New Roman" w:eastAsia="Times New Roman" w:hAnsi="Times New Roman" w:cs="Times New Roman"/>
      <w:color w:val="auto"/>
      <w:szCs w:val="20"/>
      <w:lang w:val="pl-PL"/>
    </w:rPr>
  </w:style>
  <w:style w:type="paragraph" w:styleId="List2">
    <w:name w:val="List 2"/>
    <w:basedOn w:val="Normal"/>
    <w:uiPriority w:val="99"/>
    <w:semiHidden/>
    <w:unhideWhenUsed/>
    <w:rsid w:val="005046EB"/>
    <w:pPr>
      <w:spacing w:after="0" w:line="240" w:lineRule="auto"/>
      <w:ind w:left="566" w:hanging="283"/>
    </w:pPr>
    <w:rPr>
      <w:rFonts w:ascii="Times New Roman" w:eastAsia="Times New Roman" w:hAnsi="Times New Roman" w:cs="Times New Roman"/>
      <w:color w:val="auto"/>
      <w:sz w:val="20"/>
      <w:szCs w:val="20"/>
    </w:rPr>
  </w:style>
  <w:style w:type="paragraph" w:styleId="ListBullet3">
    <w:name w:val="List Bullet 3"/>
    <w:basedOn w:val="Normal"/>
    <w:uiPriority w:val="99"/>
    <w:semiHidden/>
    <w:unhideWhenUsed/>
    <w:rsid w:val="005046EB"/>
    <w:pPr>
      <w:numPr>
        <w:numId w:val="12"/>
      </w:numPr>
      <w:spacing w:after="240" w:line="240" w:lineRule="auto"/>
      <w:contextualSpacing/>
      <w:jc w:val="both"/>
    </w:pPr>
    <w:rPr>
      <w:rFonts w:ascii="Times New Roman" w:eastAsia="SimSun" w:hAnsi="Times New Roman" w:cs="Times New Roman"/>
      <w:color w:val="auto"/>
      <w:sz w:val="24"/>
      <w:szCs w:val="24"/>
      <w:lang w:val="en-GB" w:eastAsia="zh-CN" w:bidi="ar-AE"/>
    </w:rPr>
  </w:style>
  <w:style w:type="paragraph" w:styleId="Title">
    <w:name w:val="Title"/>
    <w:basedOn w:val="Normal"/>
    <w:link w:val="TitleChar"/>
    <w:uiPriority w:val="10"/>
    <w:qFormat/>
    <w:rsid w:val="005046EB"/>
    <w:pPr>
      <w:spacing w:after="0" w:line="240" w:lineRule="auto"/>
      <w:jc w:val="center"/>
    </w:pPr>
    <w:rPr>
      <w:rFonts w:ascii="Arial" w:eastAsia="SimSun" w:hAnsi="Arial" w:cs="Times New Roman"/>
      <w:b/>
      <w:bCs/>
      <w:color w:val="auto"/>
      <w:sz w:val="20"/>
      <w:szCs w:val="24"/>
      <w:lang w:val="pl-PL" w:eastAsia="zh-CN"/>
    </w:rPr>
  </w:style>
  <w:style w:type="character" w:customStyle="1" w:styleId="TitleChar">
    <w:name w:val="Title Char"/>
    <w:basedOn w:val="DefaultParagraphFont"/>
    <w:link w:val="Title"/>
    <w:uiPriority w:val="10"/>
    <w:rsid w:val="005046EB"/>
    <w:rPr>
      <w:rFonts w:ascii="Arial" w:eastAsia="SimSun" w:hAnsi="Arial" w:cs="Times New Roman"/>
      <w:b/>
      <w:bCs/>
      <w:sz w:val="20"/>
      <w:szCs w:val="24"/>
      <w:lang w:val="pl-PL" w:eastAsia="zh-CN"/>
    </w:rPr>
  </w:style>
  <w:style w:type="paragraph" w:styleId="BodyText">
    <w:name w:val="Body Text"/>
    <w:basedOn w:val="Normal"/>
    <w:link w:val="BodyTextChar"/>
    <w:uiPriority w:val="99"/>
    <w:semiHidden/>
    <w:unhideWhenUsed/>
    <w:qFormat/>
    <w:rsid w:val="005046EB"/>
    <w:pPr>
      <w:spacing w:after="120" w:line="240" w:lineRule="auto"/>
    </w:pPr>
    <w:rPr>
      <w:rFonts w:ascii="Arial" w:eastAsia="SimSun" w:hAnsi="Arial" w:cs="Times New Roman"/>
      <w:color w:val="auto"/>
      <w:sz w:val="20"/>
      <w:szCs w:val="24"/>
      <w:lang w:val="pl-PL" w:eastAsia="zh-CN"/>
    </w:rPr>
  </w:style>
  <w:style w:type="character" w:customStyle="1" w:styleId="BodyTextChar">
    <w:name w:val="Body Text Char"/>
    <w:basedOn w:val="DefaultParagraphFont"/>
    <w:link w:val="BodyText"/>
    <w:uiPriority w:val="99"/>
    <w:semiHidden/>
    <w:rsid w:val="005046EB"/>
    <w:rPr>
      <w:rFonts w:ascii="Arial" w:eastAsia="SimSun" w:hAnsi="Arial" w:cs="Times New Roman"/>
      <w:sz w:val="20"/>
      <w:szCs w:val="24"/>
      <w:lang w:val="pl-PL" w:eastAsia="zh-CN"/>
    </w:rPr>
  </w:style>
  <w:style w:type="paragraph" w:styleId="BodyTextIndent">
    <w:name w:val="Body Text Indent"/>
    <w:basedOn w:val="Normal"/>
    <w:link w:val="BodyTextIndentChar"/>
    <w:uiPriority w:val="99"/>
    <w:semiHidden/>
    <w:unhideWhenUsed/>
    <w:rsid w:val="005046EB"/>
    <w:pPr>
      <w:spacing w:after="120" w:line="240" w:lineRule="auto"/>
      <w:ind w:left="283"/>
    </w:pPr>
    <w:rPr>
      <w:rFonts w:ascii="Arial" w:eastAsia="SimSun" w:hAnsi="Arial" w:cs="Times New Roman"/>
      <w:color w:val="auto"/>
      <w:sz w:val="20"/>
      <w:szCs w:val="24"/>
      <w:lang w:val="pl-PL" w:eastAsia="zh-CN"/>
    </w:rPr>
  </w:style>
  <w:style w:type="character" w:customStyle="1" w:styleId="BodyTextIndentChar">
    <w:name w:val="Body Text Indent Char"/>
    <w:basedOn w:val="DefaultParagraphFont"/>
    <w:link w:val="BodyTextIndent"/>
    <w:uiPriority w:val="99"/>
    <w:semiHidden/>
    <w:rsid w:val="005046EB"/>
    <w:rPr>
      <w:rFonts w:ascii="Arial" w:eastAsia="SimSun" w:hAnsi="Arial" w:cs="Times New Roman"/>
      <w:sz w:val="20"/>
      <w:szCs w:val="24"/>
      <w:lang w:val="pl-PL" w:eastAsia="zh-CN"/>
    </w:rPr>
  </w:style>
  <w:style w:type="paragraph" w:styleId="ListContinue">
    <w:name w:val="List Continue"/>
    <w:basedOn w:val="Normal"/>
    <w:uiPriority w:val="99"/>
    <w:semiHidden/>
    <w:unhideWhenUsed/>
    <w:rsid w:val="005046EB"/>
    <w:pPr>
      <w:spacing w:after="120" w:line="240" w:lineRule="auto"/>
      <w:ind w:left="283"/>
      <w:contextualSpacing/>
      <w:jc w:val="both"/>
    </w:pPr>
    <w:rPr>
      <w:rFonts w:ascii="Times New Roman" w:eastAsia="SimSun" w:hAnsi="Times New Roman" w:cs="Times New Roman"/>
      <w:color w:val="auto"/>
      <w:sz w:val="24"/>
      <w:szCs w:val="24"/>
      <w:lang w:val="en-GB" w:eastAsia="zh-CN" w:bidi="ar-AE"/>
    </w:rPr>
  </w:style>
  <w:style w:type="paragraph" w:styleId="Subtitle">
    <w:name w:val="Subtitle"/>
    <w:basedOn w:val="Normal"/>
    <w:link w:val="SubtitleChar"/>
    <w:uiPriority w:val="99"/>
    <w:qFormat/>
    <w:rsid w:val="005046EB"/>
    <w:pPr>
      <w:spacing w:after="60" w:line="240" w:lineRule="auto"/>
      <w:jc w:val="center"/>
      <w:outlineLvl w:val="1"/>
    </w:pPr>
    <w:rPr>
      <w:rFonts w:ascii="Arial" w:eastAsia="SimSun" w:hAnsi="Arial" w:cs="Arial"/>
      <w:color w:val="auto"/>
      <w:sz w:val="24"/>
      <w:szCs w:val="24"/>
      <w:lang w:val="pl-PL" w:eastAsia="zh-CN"/>
    </w:rPr>
  </w:style>
  <w:style w:type="character" w:customStyle="1" w:styleId="SubtitleChar">
    <w:name w:val="Subtitle Char"/>
    <w:basedOn w:val="DefaultParagraphFont"/>
    <w:link w:val="Subtitle"/>
    <w:uiPriority w:val="99"/>
    <w:rsid w:val="005046EB"/>
    <w:rPr>
      <w:rFonts w:ascii="Arial" w:eastAsia="SimSun" w:hAnsi="Arial" w:cs="Arial"/>
      <w:sz w:val="24"/>
      <w:szCs w:val="24"/>
      <w:lang w:val="pl-PL" w:eastAsia="zh-CN"/>
    </w:rPr>
  </w:style>
  <w:style w:type="paragraph" w:styleId="BodyTextFirstIndent2">
    <w:name w:val="Body Text First Indent 2"/>
    <w:basedOn w:val="BodyTextIndent"/>
    <w:link w:val="BodyTextFirstIndent2Char"/>
    <w:uiPriority w:val="99"/>
    <w:semiHidden/>
    <w:unhideWhenUsed/>
    <w:rsid w:val="005046EB"/>
    <w:pPr>
      <w:ind w:firstLine="210"/>
    </w:pPr>
  </w:style>
  <w:style w:type="character" w:customStyle="1" w:styleId="BodyTextFirstIndent2Char">
    <w:name w:val="Body Text First Indent 2 Char"/>
    <w:basedOn w:val="BodyTextIndentChar"/>
    <w:link w:val="BodyTextFirstIndent2"/>
    <w:uiPriority w:val="99"/>
    <w:semiHidden/>
    <w:rsid w:val="005046EB"/>
    <w:rPr>
      <w:rFonts w:ascii="Arial" w:eastAsia="SimSun" w:hAnsi="Arial" w:cs="Times New Roman"/>
      <w:sz w:val="20"/>
      <w:szCs w:val="24"/>
      <w:lang w:val="pl-PL" w:eastAsia="zh-CN"/>
    </w:rPr>
  </w:style>
  <w:style w:type="paragraph" w:styleId="BodyText3">
    <w:name w:val="Body Text 3"/>
    <w:basedOn w:val="Normal"/>
    <w:link w:val="BodyText3Char"/>
    <w:uiPriority w:val="99"/>
    <w:semiHidden/>
    <w:unhideWhenUsed/>
    <w:rsid w:val="005046EB"/>
    <w:pPr>
      <w:spacing w:after="120" w:line="240" w:lineRule="auto"/>
    </w:pPr>
    <w:rPr>
      <w:rFonts w:ascii="Times New Roman" w:eastAsia="Times New Roman" w:hAnsi="Times New Roman" w:cs="Times New Roman"/>
      <w:color w:val="auto"/>
      <w:sz w:val="16"/>
      <w:szCs w:val="16"/>
    </w:rPr>
  </w:style>
  <w:style w:type="character" w:customStyle="1" w:styleId="BodyText3Char">
    <w:name w:val="Body Text 3 Char"/>
    <w:basedOn w:val="DefaultParagraphFont"/>
    <w:link w:val="BodyText3"/>
    <w:uiPriority w:val="99"/>
    <w:semiHidden/>
    <w:rsid w:val="005046EB"/>
    <w:rPr>
      <w:rFonts w:ascii="Times New Roman" w:eastAsia="Times New Roman" w:hAnsi="Times New Roman" w:cs="Times New Roman"/>
      <w:sz w:val="16"/>
      <w:szCs w:val="16"/>
    </w:rPr>
  </w:style>
  <w:style w:type="paragraph" w:styleId="BodyTextIndent3">
    <w:name w:val="Body Text Indent 3"/>
    <w:basedOn w:val="Normal"/>
    <w:link w:val="BodyTextIndent3Char"/>
    <w:uiPriority w:val="99"/>
    <w:semiHidden/>
    <w:unhideWhenUsed/>
    <w:rsid w:val="005046EB"/>
    <w:pPr>
      <w:spacing w:after="120" w:line="240" w:lineRule="auto"/>
      <w:ind w:left="283"/>
    </w:pPr>
    <w:rPr>
      <w:rFonts w:ascii="Arial" w:eastAsia="SimSun" w:hAnsi="Arial" w:cs="Times New Roman"/>
      <w:color w:val="auto"/>
      <w:sz w:val="16"/>
      <w:szCs w:val="16"/>
      <w:lang w:val="pl-PL" w:eastAsia="zh-CN"/>
    </w:rPr>
  </w:style>
  <w:style w:type="character" w:customStyle="1" w:styleId="BodyTextIndent3Char">
    <w:name w:val="Body Text Indent 3 Char"/>
    <w:basedOn w:val="DefaultParagraphFont"/>
    <w:link w:val="BodyTextIndent3"/>
    <w:uiPriority w:val="99"/>
    <w:semiHidden/>
    <w:rsid w:val="005046EB"/>
    <w:rPr>
      <w:rFonts w:ascii="Arial" w:eastAsia="SimSun" w:hAnsi="Arial" w:cs="Times New Roman"/>
      <w:sz w:val="16"/>
      <w:szCs w:val="16"/>
      <w:lang w:val="pl-PL" w:eastAsia="zh-CN"/>
    </w:rPr>
  </w:style>
  <w:style w:type="paragraph" w:styleId="PlainText">
    <w:name w:val="Plain Text"/>
    <w:basedOn w:val="Normal"/>
    <w:link w:val="PlainTextChar"/>
    <w:uiPriority w:val="99"/>
    <w:semiHidden/>
    <w:unhideWhenUsed/>
    <w:rsid w:val="005046EB"/>
    <w:pPr>
      <w:spacing w:after="0" w:line="240" w:lineRule="auto"/>
    </w:pPr>
    <w:rPr>
      <w:rFonts w:ascii="Consolas" w:hAnsi="Consolas" w:cs="Times New Roman"/>
      <w:color w:val="auto"/>
      <w:sz w:val="21"/>
      <w:szCs w:val="21"/>
      <w:lang w:val="pl-PL" w:eastAsia="pl-PL"/>
    </w:rPr>
  </w:style>
  <w:style w:type="character" w:customStyle="1" w:styleId="PlainTextChar">
    <w:name w:val="Plain Text Char"/>
    <w:basedOn w:val="DefaultParagraphFont"/>
    <w:link w:val="PlainText"/>
    <w:uiPriority w:val="99"/>
    <w:semiHidden/>
    <w:rsid w:val="005046EB"/>
    <w:rPr>
      <w:rFonts w:ascii="Consolas" w:eastAsia="Calibri" w:hAnsi="Consolas" w:cs="Times New Roman"/>
      <w:sz w:val="21"/>
      <w:szCs w:val="21"/>
      <w:lang w:val="pl-PL" w:eastAsia="pl-PL"/>
    </w:rPr>
  </w:style>
  <w:style w:type="paragraph" w:styleId="Revision">
    <w:name w:val="Revision"/>
    <w:uiPriority w:val="99"/>
    <w:semiHidden/>
    <w:rsid w:val="005046EB"/>
    <w:pPr>
      <w:spacing w:after="0" w:line="240" w:lineRule="auto"/>
    </w:pPr>
    <w:rPr>
      <w:rFonts w:ascii="Arial" w:eastAsia="SimSun" w:hAnsi="Arial" w:cs="Times New Roman"/>
      <w:sz w:val="20"/>
      <w:szCs w:val="24"/>
      <w:lang w:val="pl-PL" w:eastAsia="zh-CN"/>
    </w:rPr>
  </w:style>
  <w:style w:type="character" w:customStyle="1" w:styleId="ListParagraphChar">
    <w:name w:val="List Paragraph Char"/>
    <w:link w:val="ListParagraph"/>
    <w:uiPriority w:val="34"/>
    <w:locked/>
    <w:rsid w:val="005046EB"/>
    <w:rPr>
      <w:rFonts w:ascii="Calibri" w:eastAsia="Calibri" w:hAnsi="Calibri" w:cs="Calibri"/>
      <w:color w:val="000000"/>
    </w:rPr>
  </w:style>
  <w:style w:type="paragraph" w:customStyle="1" w:styleId="Default">
    <w:name w:val="Default"/>
    <w:uiPriority w:val="99"/>
    <w:rsid w:val="005046E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Normalny1">
    <w:name w:val="Normalny1"/>
    <w:basedOn w:val="Default"/>
    <w:next w:val="Default"/>
    <w:uiPriority w:val="99"/>
    <w:rsid w:val="005046EB"/>
    <w:rPr>
      <w:rFonts w:ascii="Times New Roman" w:hAnsi="Times New Roman" w:cs="Times New Roman"/>
      <w:color w:val="auto"/>
    </w:rPr>
  </w:style>
  <w:style w:type="paragraph" w:customStyle="1" w:styleId="tekst1">
    <w:name w:val="tekst1"/>
    <w:basedOn w:val="Normal"/>
    <w:uiPriority w:val="99"/>
    <w:rsid w:val="005046EB"/>
    <w:pPr>
      <w:spacing w:after="240" w:line="240" w:lineRule="auto"/>
      <w:jc w:val="both"/>
    </w:pPr>
    <w:rPr>
      <w:rFonts w:ascii="NRB EE Time" w:eastAsia="Times New Roman" w:hAnsi="NRB EE Time" w:cs="Times New Roman"/>
      <w:color w:val="auto"/>
      <w:szCs w:val="20"/>
      <w:lang w:val="pl-PL"/>
    </w:rPr>
  </w:style>
  <w:style w:type="paragraph" w:customStyle="1" w:styleId="Akapitzlist1">
    <w:name w:val="Akapit z listą1"/>
    <w:basedOn w:val="Normal"/>
    <w:uiPriority w:val="99"/>
    <w:qFormat/>
    <w:rsid w:val="005046EB"/>
    <w:pPr>
      <w:spacing w:after="0" w:line="240" w:lineRule="auto"/>
      <w:ind w:left="708"/>
    </w:pPr>
    <w:rPr>
      <w:rFonts w:ascii="Times New Roman" w:eastAsia="Times New Roman" w:hAnsi="Times New Roman" w:cs="Times New Roman"/>
      <w:color w:val="auto"/>
      <w:sz w:val="24"/>
      <w:szCs w:val="20"/>
      <w:lang w:val="pl-PL"/>
    </w:rPr>
  </w:style>
  <w:style w:type="character" w:customStyle="1" w:styleId="SimpleL2Char">
    <w:name w:val="Simple L2 Char"/>
    <w:link w:val="SimpleL2"/>
    <w:locked/>
    <w:rsid w:val="005046EB"/>
    <w:rPr>
      <w:bCs/>
      <w:sz w:val="24"/>
      <w:szCs w:val="24"/>
      <w:lang w:val="en-GB" w:eastAsia="zh-CN" w:bidi="ar-AE"/>
    </w:rPr>
  </w:style>
  <w:style w:type="paragraph" w:customStyle="1" w:styleId="SimpleL2">
    <w:name w:val="Simple L2"/>
    <w:basedOn w:val="Normal"/>
    <w:link w:val="SimpleL2Char"/>
    <w:rsid w:val="005046EB"/>
    <w:pPr>
      <w:spacing w:after="240" w:line="240" w:lineRule="auto"/>
      <w:jc w:val="both"/>
      <w:outlineLvl w:val="1"/>
    </w:pPr>
    <w:rPr>
      <w:rFonts w:asciiTheme="minorHAnsi" w:eastAsiaTheme="minorEastAsia" w:hAnsiTheme="minorHAnsi" w:cstheme="minorBidi"/>
      <w:bCs/>
      <w:color w:val="auto"/>
      <w:sz w:val="24"/>
      <w:szCs w:val="24"/>
      <w:lang w:val="en-GB" w:eastAsia="zh-CN" w:bidi="ar-AE"/>
    </w:rPr>
  </w:style>
  <w:style w:type="paragraph" w:customStyle="1" w:styleId="AOGenNum3List">
    <w:name w:val="AOGenNum3List"/>
    <w:basedOn w:val="AOGenNum3"/>
    <w:uiPriority w:val="99"/>
    <w:rsid w:val="005046EB"/>
    <w:pPr>
      <w:numPr>
        <w:ilvl w:val="1"/>
      </w:numPr>
    </w:pPr>
  </w:style>
  <w:style w:type="paragraph" w:customStyle="1" w:styleId="AOGenNum3">
    <w:name w:val="AOGenNum3"/>
    <w:basedOn w:val="Normal"/>
    <w:next w:val="AOGenNum3List"/>
    <w:uiPriority w:val="99"/>
    <w:rsid w:val="005046EB"/>
    <w:pPr>
      <w:numPr>
        <w:numId w:val="13"/>
      </w:numPr>
      <w:spacing w:before="240" w:after="0" w:line="260" w:lineRule="atLeast"/>
      <w:jc w:val="both"/>
    </w:pPr>
    <w:rPr>
      <w:rFonts w:ascii="Times New Roman" w:eastAsia="SimSun" w:hAnsi="Times New Roman" w:cs="Times New Roman"/>
      <w:color w:val="auto"/>
      <w:lang w:val="pl-PL"/>
    </w:rPr>
  </w:style>
  <w:style w:type="paragraph" w:customStyle="1" w:styleId="NA">
    <w:name w:val="N/A"/>
    <w:basedOn w:val="Normal"/>
    <w:uiPriority w:val="99"/>
    <w:rsid w:val="005046EB"/>
    <w:pPr>
      <w:tabs>
        <w:tab w:val="left" w:pos="9000"/>
        <w:tab w:val="right" w:pos="9360"/>
      </w:tabs>
      <w:suppressAutoHyphens/>
      <w:spacing w:after="0" w:line="240" w:lineRule="auto"/>
    </w:pPr>
    <w:rPr>
      <w:rFonts w:ascii="CG Times" w:eastAsia="Times New Roman" w:hAnsi="CG Times" w:cs="Times New Roman"/>
      <w:color w:val="auto"/>
      <w:sz w:val="20"/>
      <w:szCs w:val="20"/>
    </w:rPr>
  </w:style>
  <w:style w:type="paragraph" w:customStyle="1" w:styleId="paragraph">
    <w:name w:val="paragraph"/>
    <w:basedOn w:val="Normal"/>
    <w:uiPriority w:val="99"/>
    <w:rsid w:val="005046EB"/>
    <w:pPr>
      <w:spacing w:before="100" w:beforeAutospacing="1" w:after="100" w:afterAutospacing="1" w:line="240" w:lineRule="auto"/>
    </w:pPr>
    <w:rPr>
      <w:rFonts w:ascii="Times New Roman" w:eastAsia="Times New Roman" w:hAnsi="Times New Roman" w:cs="Times New Roman"/>
      <w:color w:val="auto"/>
      <w:sz w:val="24"/>
      <w:szCs w:val="24"/>
      <w:lang w:val="pl-PL" w:eastAsia="pl-PL"/>
    </w:rPr>
  </w:style>
  <w:style w:type="paragraph" w:customStyle="1" w:styleId="ListParagraph1">
    <w:name w:val="List Paragraph1"/>
    <w:basedOn w:val="Normal"/>
    <w:uiPriority w:val="99"/>
    <w:qFormat/>
    <w:rsid w:val="005046EB"/>
    <w:pPr>
      <w:spacing w:after="0" w:line="240" w:lineRule="auto"/>
      <w:ind w:left="708"/>
    </w:pPr>
    <w:rPr>
      <w:rFonts w:ascii="Times New Roman" w:eastAsia="Times New Roman" w:hAnsi="Times New Roman" w:cs="Times New Roman"/>
      <w:color w:val="auto"/>
      <w:sz w:val="24"/>
      <w:szCs w:val="20"/>
      <w:lang w:val="pl-PL"/>
    </w:rPr>
  </w:style>
  <w:style w:type="paragraph" w:customStyle="1" w:styleId="aogennum3list0">
    <w:name w:val="aogennum3list"/>
    <w:basedOn w:val="Normal"/>
    <w:uiPriority w:val="99"/>
    <w:rsid w:val="005046EB"/>
    <w:pPr>
      <w:spacing w:before="240" w:after="0" w:line="260" w:lineRule="atLeast"/>
      <w:ind w:left="1997" w:hanging="720"/>
      <w:jc w:val="both"/>
    </w:pPr>
    <w:rPr>
      <w:rFonts w:ascii="Times New Roman" w:hAnsi="Times New Roman" w:cs="Times New Roman"/>
      <w:color w:val="auto"/>
      <w:lang w:val="pl-PL" w:eastAsia="pl-PL"/>
    </w:rPr>
  </w:style>
  <w:style w:type="paragraph" w:customStyle="1" w:styleId="SimpleL9">
    <w:name w:val="Simple L9"/>
    <w:basedOn w:val="Normal"/>
    <w:uiPriority w:val="99"/>
    <w:rsid w:val="005046EB"/>
    <w:pPr>
      <w:spacing w:after="240" w:line="240" w:lineRule="auto"/>
      <w:jc w:val="both"/>
    </w:pPr>
    <w:rPr>
      <w:rFonts w:ascii="Times New Roman" w:eastAsia="SimSun" w:hAnsi="Times New Roman" w:cs="Times New Roman"/>
      <w:bCs/>
      <w:color w:val="auto"/>
      <w:sz w:val="24"/>
      <w:szCs w:val="24"/>
      <w:lang w:val="pl-PL" w:eastAsia="zh-CN" w:bidi="ar-AE"/>
    </w:rPr>
  </w:style>
  <w:style w:type="paragraph" w:customStyle="1" w:styleId="SimpleL8">
    <w:name w:val="Simple L8"/>
    <w:basedOn w:val="Normal"/>
    <w:uiPriority w:val="99"/>
    <w:rsid w:val="005046EB"/>
    <w:pPr>
      <w:spacing w:after="240" w:line="240" w:lineRule="auto"/>
      <w:jc w:val="both"/>
    </w:pPr>
    <w:rPr>
      <w:rFonts w:ascii="Times New Roman" w:eastAsia="SimSun" w:hAnsi="Times New Roman" w:cs="Times New Roman"/>
      <w:bCs/>
      <w:color w:val="auto"/>
      <w:sz w:val="24"/>
      <w:szCs w:val="24"/>
      <w:lang w:val="pl-PL" w:eastAsia="zh-CN" w:bidi="ar-AE"/>
    </w:rPr>
  </w:style>
  <w:style w:type="paragraph" w:customStyle="1" w:styleId="SimpleL7">
    <w:name w:val="Simple L7"/>
    <w:basedOn w:val="Normal"/>
    <w:uiPriority w:val="99"/>
    <w:rsid w:val="005046EB"/>
    <w:pPr>
      <w:tabs>
        <w:tab w:val="num" w:pos="720"/>
      </w:tabs>
      <w:spacing w:after="240" w:line="240" w:lineRule="auto"/>
      <w:ind w:left="720" w:hanging="720"/>
      <w:jc w:val="both"/>
      <w:outlineLvl w:val="6"/>
    </w:pPr>
    <w:rPr>
      <w:rFonts w:ascii="Times New Roman" w:eastAsia="SimSun" w:hAnsi="Times New Roman" w:cs="Times New Roman"/>
      <w:bCs/>
      <w:color w:val="auto"/>
      <w:sz w:val="24"/>
      <w:szCs w:val="24"/>
      <w:lang w:val="pl-PL" w:eastAsia="zh-CN" w:bidi="ar-AE"/>
    </w:rPr>
  </w:style>
  <w:style w:type="paragraph" w:customStyle="1" w:styleId="SimpleL6">
    <w:name w:val="Simple L6"/>
    <w:basedOn w:val="Normal"/>
    <w:uiPriority w:val="99"/>
    <w:rsid w:val="005046EB"/>
    <w:pPr>
      <w:tabs>
        <w:tab w:val="num" w:pos="720"/>
      </w:tabs>
      <w:spacing w:after="240" w:line="240" w:lineRule="auto"/>
      <w:ind w:left="720" w:hanging="720"/>
      <w:jc w:val="both"/>
      <w:outlineLvl w:val="5"/>
    </w:pPr>
    <w:rPr>
      <w:rFonts w:ascii="Times New Roman" w:eastAsia="SimSun" w:hAnsi="Times New Roman" w:cs="Times New Roman"/>
      <w:bCs/>
      <w:color w:val="auto"/>
      <w:sz w:val="24"/>
      <w:szCs w:val="24"/>
      <w:lang w:val="pl-PL" w:eastAsia="zh-CN" w:bidi="ar-AE"/>
    </w:rPr>
  </w:style>
  <w:style w:type="character" w:customStyle="1" w:styleId="SimpleL4Char">
    <w:name w:val="Simple L4 Char"/>
    <w:link w:val="SimpleL4"/>
    <w:locked/>
    <w:rsid w:val="005046EB"/>
    <w:rPr>
      <w:rFonts w:ascii="Arial" w:eastAsia="SimSun" w:hAnsi="Arial" w:cs="Arial"/>
      <w:bCs/>
      <w:color w:val="000000"/>
      <w:sz w:val="24"/>
      <w:szCs w:val="24"/>
      <w:lang w:val="en-GB" w:eastAsia="zh-CN" w:bidi="ar-AE"/>
    </w:rPr>
  </w:style>
  <w:style w:type="paragraph" w:customStyle="1" w:styleId="SimpleL4">
    <w:name w:val="Simple L4"/>
    <w:basedOn w:val="Normal"/>
    <w:link w:val="SimpleL4Char"/>
    <w:rsid w:val="005046EB"/>
    <w:pPr>
      <w:tabs>
        <w:tab w:val="num" w:pos="1430"/>
      </w:tabs>
      <w:spacing w:after="240" w:line="240" w:lineRule="auto"/>
      <w:ind w:left="1430" w:hanging="720"/>
      <w:jc w:val="both"/>
      <w:outlineLvl w:val="3"/>
    </w:pPr>
    <w:rPr>
      <w:rFonts w:ascii="Arial" w:eastAsia="SimSun" w:hAnsi="Arial" w:cs="Arial"/>
      <w:bCs/>
      <w:sz w:val="24"/>
      <w:szCs w:val="24"/>
      <w:lang w:val="en-GB" w:eastAsia="zh-CN" w:bidi="ar-AE"/>
    </w:rPr>
  </w:style>
  <w:style w:type="paragraph" w:customStyle="1" w:styleId="SimpleL3">
    <w:name w:val="Simple L3"/>
    <w:basedOn w:val="Normal"/>
    <w:uiPriority w:val="99"/>
    <w:rsid w:val="005046EB"/>
    <w:pPr>
      <w:tabs>
        <w:tab w:val="num" w:pos="720"/>
      </w:tabs>
      <w:spacing w:after="240" w:line="240" w:lineRule="auto"/>
      <w:ind w:left="720" w:hanging="720"/>
      <w:jc w:val="both"/>
      <w:outlineLvl w:val="2"/>
    </w:pPr>
    <w:rPr>
      <w:rFonts w:ascii="Times New Roman" w:eastAsia="SimSun" w:hAnsi="Times New Roman" w:cs="Times New Roman"/>
      <w:bCs/>
      <w:color w:val="auto"/>
      <w:sz w:val="24"/>
      <w:szCs w:val="24"/>
      <w:lang w:val="pl-PL" w:eastAsia="zh-CN" w:bidi="ar-AE"/>
    </w:rPr>
  </w:style>
  <w:style w:type="paragraph" w:customStyle="1" w:styleId="SimpleL1">
    <w:name w:val="Simple L1"/>
    <w:basedOn w:val="Normal"/>
    <w:uiPriority w:val="99"/>
    <w:rsid w:val="005046EB"/>
    <w:pPr>
      <w:tabs>
        <w:tab w:val="num" w:pos="720"/>
      </w:tabs>
      <w:spacing w:after="240" w:line="240" w:lineRule="auto"/>
      <w:ind w:left="720" w:hanging="720"/>
      <w:jc w:val="both"/>
      <w:outlineLvl w:val="0"/>
    </w:pPr>
    <w:rPr>
      <w:rFonts w:ascii="Times New Roman" w:eastAsia="SimSun" w:hAnsi="Times New Roman" w:cs="Times New Roman"/>
      <w:bCs/>
      <w:color w:val="auto"/>
      <w:sz w:val="24"/>
      <w:szCs w:val="24"/>
      <w:lang w:val="pl-PL" w:eastAsia="zh-CN" w:bidi="ar-AE"/>
    </w:rPr>
  </w:style>
  <w:style w:type="paragraph" w:customStyle="1" w:styleId="CM4">
    <w:name w:val="CM4"/>
    <w:basedOn w:val="Default"/>
    <w:next w:val="Default"/>
    <w:uiPriority w:val="99"/>
    <w:rsid w:val="005046EB"/>
    <w:rPr>
      <w:rFonts w:ascii="EUAlbertina" w:hAnsi="EUAlbertina" w:cs="Times New Roman"/>
      <w:color w:val="auto"/>
      <w:lang w:val="ru-RU" w:eastAsia="ru-RU"/>
    </w:rPr>
  </w:style>
  <w:style w:type="paragraph" w:customStyle="1" w:styleId="BodyText7">
    <w:name w:val="Body Text 7"/>
    <w:basedOn w:val="Normal"/>
    <w:uiPriority w:val="99"/>
    <w:rsid w:val="005046EB"/>
    <w:pPr>
      <w:spacing w:after="240" w:line="240" w:lineRule="auto"/>
      <w:ind w:left="5041"/>
      <w:jc w:val="both"/>
    </w:pPr>
    <w:rPr>
      <w:rFonts w:ascii="Times New Roman" w:eastAsia="SimSun" w:hAnsi="Times New Roman" w:cs="Times New Roman"/>
      <w:color w:val="auto"/>
      <w:sz w:val="24"/>
      <w:szCs w:val="24"/>
      <w:lang w:val="en-GB" w:eastAsia="en-GB" w:bidi="ar-AE"/>
    </w:rPr>
  </w:style>
  <w:style w:type="character" w:styleId="FootnoteReference">
    <w:name w:val="footnote reference"/>
    <w:uiPriority w:val="99"/>
    <w:semiHidden/>
    <w:unhideWhenUsed/>
    <w:rsid w:val="005046EB"/>
    <w:rPr>
      <w:vertAlign w:val="superscript"/>
    </w:rPr>
  </w:style>
  <w:style w:type="character" w:styleId="EndnoteReference">
    <w:name w:val="endnote reference"/>
    <w:uiPriority w:val="99"/>
    <w:semiHidden/>
    <w:unhideWhenUsed/>
    <w:rsid w:val="005046EB"/>
    <w:rPr>
      <w:vertAlign w:val="superscript"/>
    </w:rPr>
  </w:style>
  <w:style w:type="character" w:customStyle="1" w:styleId="zwyklytekst1">
    <w:name w:val="zwyklytekst1"/>
    <w:rsid w:val="005046EB"/>
    <w:rPr>
      <w:rFonts w:ascii="Arial" w:hAnsi="Arial" w:cs="Arial" w:hint="default"/>
      <w:b w:val="0"/>
      <w:bCs w:val="0"/>
      <w:i w:val="0"/>
      <w:iCs w:val="0"/>
      <w:strike w:val="0"/>
      <w:dstrike w:val="0"/>
      <w:color w:val="000000"/>
      <w:sz w:val="15"/>
      <w:szCs w:val="15"/>
      <w:u w:val="none"/>
      <w:effect w:val="none"/>
    </w:rPr>
  </w:style>
  <w:style w:type="character" w:customStyle="1" w:styleId="apple-converted-space">
    <w:name w:val="apple-converted-space"/>
    <w:rsid w:val="005046EB"/>
  </w:style>
  <w:style w:type="character" w:customStyle="1" w:styleId="normaltextrun">
    <w:name w:val="normaltextrun"/>
    <w:rsid w:val="005046EB"/>
  </w:style>
  <w:style w:type="character" w:customStyle="1" w:styleId="eop">
    <w:name w:val="eop"/>
    <w:rsid w:val="005046EB"/>
  </w:style>
  <w:style w:type="character" w:customStyle="1" w:styleId="contextualspellingandgrammarerror">
    <w:name w:val="contextualspellingandgrammarerror"/>
    <w:rsid w:val="005046EB"/>
  </w:style>
  <w:style w:type="character" w:styleId="FollowedHyperlink">
    <w:name w:val="FollowedHyperlink"/>
    <w:uiPriority w:val="99"/>
    <w:semiHidden/>
    <w:unhideWhenUsed/>
    <w:rsid w:val="005046EB"/>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kronenberg.org.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XMLData TextToDisplay="RightsWATCHMark">13|CITI-PII-Internal|{00000000-0000-0000-0000-000000000000}</XMLData>
</file>

<file path=customXml/item2.xml><?xml version="1.0" encoding="utf-8"?>
<XMLData TextToDisplay="%CLASSIFICATIONDATETIME%">06:38 21/05/2021</XMLData>
</file>

<file path=customXml/item3.xml><?xml version="1.0" encoding="utf-8"?>
<XMLData TextToDisplay="%DOCUMENTGUID%">{00000000-0000-0000-0000-000000000000}</XMLData>
</file>

<file path=customXml/itemProps1.xml><?xml version="1.0" encoding="utf-8"?>
<ds:datastoreItem xmlns:ds="http://schemas.openxmlformats.org/officeDocument/2006/customXml" ds:itemID="{877A7EA8-5CAF-43C7-BA51-88913B84563B}">
  <ds:schemaRefs/>
</ds:datastoreItem>
</file>

<file path=customXml/itemProps2.xml><?xml version="1.0" encoding="utf-8"?>
<ds:datastoreItem xmlns:ds="http://schemas.openxmlformats.org/officeDocument/2006/customXml" ds:itemID="{24756F9E-5448-4BDC-A714-A3A6EF2A9606}">
  <ds:schemaRefs/>
</ds:datastoreItem>
</file>

<file path=customXml/itemProps3.xml><?xml version="1.0" encoding="utf-8"?>
<ds:datastoreItem xmlns:ds="http://schemas.openxmlformats.org/officeDocument/2006/customXml" ds:itemID="{310CB8FE-EBC3-40F1-9296-7A9C5DD1C1B0}">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49</Pages>
  <Words>17871</Words>
  <Characters>101871</Characters>
  <Application>Microsoft Office Word</Application>
  <DocSecurity>0</DocSecurity>
  <Lines>848</Lines>
  <Paragraphs>239</Paragraphs>
  <ScaleCrop>false</ScaleCrop>
  <HeadingPairs>
    <vt:vector size="2" baseType="variant">
      <vt:variant>
        <vt:lpstr>Title</vt:lpstr>
      </vt:variant>
      <vt:variant>
        <vt:i4>1</vt:i4>
      </vt:variant>
    </vt:vector>
  </HeadingPairs>
  <TitlesOfParts>
    <vt:vector size="1" baseType="lpstr">
      <vt:lpstr>_</vt:lpstr>
    </vt:vector>
  </TitlesOfParts>
  <Company>Citigroup</Company>
  <LinksUpToDate>false</LinksUpToDate>
  <CharactersWithSpaces>119503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Pilzak, Piotr [EMA-LEGAL]</dc:creator>
  <cp:keywords/>
  <cp:lastModifiedBy>Sadowska, Magdalena [LEGL-BHW NE]</cp:lastModifiedBy>
  <cp:revision>10</cp:revision>
  <cp:lastPrinted>2021-05-21T08:51:00Z</cp:lastPrinted>
  <dcterms:created xsi:type="dcterms:W3CDTF">2021-05-21T06:38:00Z</dcterms:created>
  <dcterms:modified xsi:type="dcterms:W3CDTF">2021-05-21T08:51:00Z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13|CITI-PII-Internal|{00000000-0000-0000-0000-000000000000}</vt:lpwstr>
  </property>
</Properties>
</file>